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46949.xml.htm"/>
      <w:bookmarkStart w:id="1" w:name="kswkform4_17854469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Norwalk Leslie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NEUROCRINE BIOSCIENCES INC</w:t>
              </w:r>
            </w:hyperlink>
            <w:r>
              <w:rPr/>
              <w:t xml:space="preserve"> [ </w:t>
            </w:r>
            <w:r>
              <w:rPr>
                <w:rFonts w:ascii="Times;serif" w:hAnsi="Times;serif"/>
                <w:color w:val="0000FF"/>
                <w:sz w:val="24"/>
                <w:shd w:fill="FFFFFF" w:val="clear"/>
              </w:rPr>
              <w:t>NBIX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182.006</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139.43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88"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139.43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disposition reported in this Form 4 was effected by a broker pursuant to instructions set forth in a Rule 10b5-1 trading plan adopted and effective on September 15, 2025. Additionally, Issuer policy restricts the Reporting Person from amending or otherwise modifying any 10b5-1 trading plan subsequent to adoption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weighted average sales price per share. These shares were sold in multiple transactions at prices ranging from $182.00 to $182.03. The Reporting Person has provided to the issuer, and will provide to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Option vested in 12 monthly installments beginning June 22,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33568" TargetMode="External"/><Relationship Id="rId5" Type="http://schemas.openxmlformats.org/officeDocument/2006/relationships/hyperlink" Target="http://www.sec.gov/cgi-bin/browse-edgar?action=getcompany&amp;CIK=0000914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3832</Characters>
  <CharactersWithSpaces>4453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