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BVF PARTNERS L P/IL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ONE SANSOME STREET, 31ST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NEUROCRINE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NBIX </w:t>
      </w:r>
      <w:r>
        <w:rPr>
          <w:rFonts w:ascii="Arial" w:cs="Arial" w:eastAsia="Arial" w:hAnsi="Arial"/>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02/28/2008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Indirect Beneficial Owner</w:t>
      </w:r>
    </w:p>
    <w:p>
      <w:pPr>
        <w:spacing w:after="0" w:line="362" w:lineRule="exact"/>
        <w:rPr>
          <w:sz w:val="24"/>
          <w:szCs w:val="24"/>
          <w:color w:val="auto"/>
        </w:rPr>
      </w:pPr>
    </w:p>
    <w:p>
      <w:pPr>
        <w:sectPr>
          <w:pgSz w:w="11900" w:h="16838" w:orient="portrait"/>
          <w:cols w:equalWidth="0" w:num="3">
            <w:col w:w="3360" w:space="720"/>
            <w:col w:w="3380" w:space="5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40" w:type="dxa"/>
            <w:vAlign w:val="bottom"/>
            <w:tcBorders>
              <w:top w:val="single" w:sz="8" w:color="2C2C2C"/>
            </w:tcBorders>
            <w:gridSpan w:val="10"/>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3860" w:type="dxa"/>
            <w:vAlign w:val="bottom"/>
            <w:tcBorders>
              <w:top w:val="single" w:sz="8" w:color="2C2C2C"/>
            </w:tcBorders>
            <w:gridSpan w:val="10"/>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8"/>
                <w:szCs w:val="18"/>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8"/>
                <w:szCs w:val="18"/>
                <w:color w:val="0000FF"/>
              </w:rPr>
              <w:t>CA</w:t>
            </w:r>
          </w:p>
        </w:tc>
        <w:tc>
          <w:tcPr>
            <w:tcW w:w="1080" w:type="dxa"/>
            <w:vAlign w:val="bottom"/>
            <w:vMerge w:val="restart"/>
          </w:tcPr>
          <w:p>
            <w:pPr>
              <w:spacing w:after="0"/>
              <w:rPr>
                <w:sz w:val="20"/>
                <w:szCs w:val="20"/>
                <w:color w:val="auto"/>
              </w:rPr>
            </w:pPr>
            <w:r>
              <w:rPr>
                <w:rFonts w:ascii="Arial" w:cs="Arial" w:eastAsia="Arial" w:hAnsi="Arial"/>
                <w:sz w:val="18"/>
                <w:szCs w:val="18"/>
                <w:color w:val="0000FF"/>
              </w:rPr>
              <w:t>94104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3020" w:type="dxa"/>
            <w:vAlign w:val="bottom"/>
            <w:gridSpan w:val="7"/>
            <w:vMerge w:val="restart"/>
          </w:tcPr>
          <w:p>
            <w:pPr>
              <w:ind w:left="2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83" w:lineRule="exact"/>
              <w:rPr>
                <w:sz w:val="20"/>
                <w:szCs w:val="20"/>
                <w:color w:val="auto"/>
              </w:rPr>
            </w:pPr>
            <w:r>
              <w:rPr>
                <w:rFonts w:ascii="Arial" w:cs="Arial" w:eastAsia="Arial" w:hAnsi="Arial"/>
                <w:sz w:val="18"/>
                <w:szCs w:val="18"/>
                <w:color w:val="0000FF"/>
              </w:rPr>
              <w:t>FRANCISCO</w:t>
            </w:r>
          </w:p>
        </w:tc>
        <w:tc>
          <w:tcPr>
            <w:tcW w:w="130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vMerge w:val="restart"/>
          </w:tcPr>
          <w:p>
            <w:pPr>
              <w:ind w:left="20"/>
              <w:spacing w:after="0" w:line="183" w:lineRule="exact"/>
              <w:rPr>
                <w:sz w:val="20"/>
                <w:szCs w:val="20"/>
                <w:color w:val="auto"/>
              </w:rPr>
            </w:pPr>
            <w:r>
              <w:rPr>
                <w:rFonts w:ascii="Arial" w:cs="Arial" w:eastAsia="Arial" w:hAnsi="Arial"/>
                <w:sz w:val="18"/>
                <w:szCs w:val="18"/>
                <w:color w:val="0000FF"/>
                <w:w w:val="99"/>
              </w:rPr>
              <w:t>X</w:t>
            </w:r>
          </w:p>
        </w:tc>
        <w:tc>
          <w:tcPr>
            <w:tcW w:w="3020" w:type="dxa"/>
            <w:vAlign w:val="bottom"/>
            <w:gridSpan w:val="7"/>
          </w:tcPr>
          <w:p>
            <w:pPr>
              <w:ind w:left="220"/>
              <w:spacing w:after="0" w:line="149"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040" w:type="dxa"/>
            <w:vAlign w:val="bottom"/>
            <w:gridSpan w:val="2"/>
            <w:vMerge w:val="restart"/>
          </w:tcPr>
          <w:p>
            <w:pPr>
              <w:jc w:val="center"/>
              <w:ind w:right="119"/>
              <w:spacing w:after="0"/>
              <w:rPr>
                <w:sz w:val="20"/>
                <w:szCs w:val="20"/>
                <w:color w:val="auto"/>
              </w:rPr>
            </w:pPr>
            <w:r>
              <w:rPr>
                <w:rFonts w:ascii="Arial" w:cs="Arial" w:eastAsia="Arial" w:hAnsi="Arial"/>
                <w:sz w:val="14"/>
                <w:szCs w:val="14"/>
                <w:color w:val="auto"/>
                <w:w w:val="94"/>
              </w:rPr>
              <w:t>Person</w:t>
            </w: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21"/>
          </w:tcPr>
          <w:p>
            <w:pPr>
              <w:jc w:val="center"/>
              <w:ind w:right="2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Date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gridSpan w:val="5"/>
            <w:vMerge w:val="restart"/>
          </w:tcPr>
          <w:p>
            <w:pPr>
              <w:jc w:val="right"/>
              <w:ind w:right="132"/>
              <w:spacing w:after="0"/>
              <w:rPr>
                <w:sz w:val="20"/>
                <w:szCs w:val="20"/>
                <w:color w:val="auto"/>
              </w:rPr>
            </w:pPr>
            <w:r>
              <w:rPr>
                <w:rFonts w:ascii="Arial" w:cs="Arial" w:eastAsia="Arial" w:hAnsi="Arial"/>
                <w:sz w:val="18"/>
                <w:szCs w:val="18"/>
                <w:color w:val="0000FF"/>
              </w:rPr>
              <w:t>02/28/2008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ind w:right="4"/>
              <w:spacing w:after="0"/>
              <w:rPr>
                <w:sz w:val="20"/>
                <w:szCs w:val="20"/>
                <w:color w:val="auto"/>
              </w:rPr>
            </w:pPr>
            <w:r>
              <w:rPr>
                <w:rFonts w:ascii="Arial" w:cs="Arial" w:eastAsia="Arial" w:hAnsi="Arial"/>
                <w:sz w:val="18"/>
                <w:szCs w:val="18"/>
                <w:color w:val="0000FF"/>
                <w:w w:val="82"/>
              </w:rPr>
              <w:t>5,000</w:t>
            </w:r>
            <w:r>
              <w:rPr>
                <w:rFonts w:ascii="Arial" w:cs="Arial" w:eastAsia="Arial" w:hAnsi="Arial"/>
                <w:sz w:val="22"/>
                <w:szCs w:val="22"/>
                <w:color w:val="008000"/>
                <w:w w:val="82"/>
                <w:vertAlign w:val="superscript"/>
              </w:rPr>
              <w:t>(3)</w:t>
            </w:r>
          </w:p>
        </w:tc>
        <w:tc>
          <w:tcPr>
            <w:tcW w:w="50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20" w:type="dxa"/>
            <w:vAlign w:val="bottom"/>
            <w:vMerge w:val="restart"/>
          </w:tcPr>
          <w:p>
            <w:pPr>
              <w:jc w:val="center"/>
              <w:ind w:left="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vMerge w:val="restart"/>
          </w:tcPr>
          <w:p>
            <w:pPr>
              <w:jc w:val="center"/>
              <w:ind w:right="119"/>
              <w:spacing w:after="0"/>
              <w:rPr>
                <w:sz w:val="20"/>
                <w:szCs w:val="20"/>
                <w:color w:val="auto"/>
              </w:rPr>
            </w:pPr>
            <w:r>
              <w:rPr>
                <w:rFonts w:ascii="Arial" w:cs="Arial" w:eastAsia="Arial" w:hAnsi="Arial"/>
                <w:sz w:val="18"/>
                <w:szCs w:val="18"/>
                <w:color w:val="0000FF"/>
                <w:w w:val="83"/>
              </w:rPr>
              <w:t>3,895,100</w:t>
            </w:r>
            <w:r>
              <w:rPr>
                <w:rFonts w:ascii="Arial" w:cs="Arial" w:eastAsia="Arial" w:hAnsi="Arial"/>
                <w:sz w:val="22"/>
                <w:szCs w:val="22"/>
                <w:color w:val="008000"/>
                <w:w w:val="83"/>
                <w:vertAlign w:val="superscript"/>
              </w:rPr>
              <w:t>(6)</w:t>
            </w:r>
          </w:p>
        </w:tc>
        <w:tc>
          <w:tcPr>
            <w:tcW w:w="380" w:type="dxa"/>
            <w:vAlign w:val="bottom"/>
          </w:tcPr>
          <w:p>
            <w:pPr>
              <w:spacing w:after="0"/>
              <w:rPr>
                <w:sz w:val="22"/>
                <w:szCs w:val="22"/>
                <w:color w:val="auto"/>
              </w:rPr>
            </w:pPr>
          </w:p>
        </w:tc>
        <w:tc>
          <w:tcPr>
            <w:tcW w:w="52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(1)(2)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5"/>
            <w:vMerge w:val="restart"/>
          </w:tcPr>
          <w:p>
            <w:pPr>
              <w:jc w:val="right"/>
              <w:ind w:right="132"/>
              <w:spacing w:after="0"/>
              <w:rPr>
                <w:sz w:val="20"/>
                <w:szCs w:val="20"/>
                <w:color w:val="auto"/>
              </w:rPr>
            </w:pPr>
            <w:r>
              <w:rPr>
                <w:rFonts w:ascii="Arial" w:cs="Arial" w:eastAsia="Arial" w:hAnsi="Arial"/>
                <w:sz w:val="18"/>
                <w:szCs w:val="18"/>
                <w:color w:val="0000FF"/>
              </w:rPr>
              <w:t>02/28/2008</w:t>
            </w: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P</w:t>
            </w:r>
          </w:p>
        </w:tc>
        <w:tc>
          <w:tcPr>
            <w:tcW w:w="800" w:type="dxa"/>
            <w:vAlign w:val="bottom"/>
            <w:tcBorders>
              <w:top w:val="single" w:sz="8" w:color="2C2C2C"/>
            </w:tcBorders>
            <w:vMerge w:val="restart"/>
          </w:tcPr>
          <w:p>
            <w:pPr>
              <w:jc w:val="center"/>
              <w:ind w:right="4"/>
              <w:spacing w:after="0"/>
              <w:rPr>
                <w:sz w:val="20"/>
                <w:szCs w:val="20"/>
                <w:color w:val="auto"/>
              </w:rPr>
            </w:pPr>
            <w:r>
              <w:rPr>
                <w:rFonts w:ascii="Arial" w:cs="Arial" w:eastAsia="Arial" w:hAnsi="Arial"/>
                <w:sz w:val="18"/>
                <w:szCs w:val="18"/>
                <w:color w:val="0000FF"/>
                <w:w w:val="82"/>
              </w:rPr>
              <w:t>4,000</w:t>
            </w:r>
            <w:r>
              <w:rPr>
                <w:rFonts w:ascii="Arial" w:cs="Arial" w:eastAsia="Arial" w:hAnsi="Arial"/>
                <w:sz w:val="22"/>
                <w:szCs w:val="22"/>
                <w:color w:val="008000"/>
                <w:w w:val="82"/>
                <w:vertAlign w:val="superscript"/>
              </w:rPr>
              <w:t>(4)</w:t>
            </w:r>
          </w:p>
        </w:tc>
        <w:tc>
          <w:tcPr>
            <w:tcW w:w="5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8"/>
                <w:szCs w:val="18"/>
                <w:color w:val="0000FF"/>
              </w:rPr>
              <w:t>A</w:t>
            </w:r>
          </w:p>
        </w:tc>
        <w:tc>
          <w:tcPr>
            <w:tcW w:w="620" w:type="dxa"/>
            <w:vAlign w:val="bottom"/>
            <w:tcBorders>
              <w:top w:val="single" w:sz="8" w:color="2C2C2C"/>
            </w:tcBorders>
            <w:vMerge w:val="restart"/>
          </w:tcPr>
          <w:p>
            <w:pPr>
              <w:jc w:val="center"/>
              <w:ind w:left="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gridSpan w:val="2"/>
            <w:vMerge w:val="restart"/>
          </w:tcPr>
          <w:p>
            <w:pPr>
              <w:jc w:val="center"/>
              <w:ind w:right="119"/>
              <w:spacing w:after="0"/>
              <w:rPr>
                <w:sz w:val="20"/>
                <w:szCs w:val="20"/>
                <w:color w:val="auto"/>
              </w:rPr>
            </w:pPr>
            <w:r>
              <w:rPr>
                <w:rFonts w:ascii="Arial" w:cs="Arial" w:eastAsia="Arial" w:hAnsi="Arial"/>
                <w:sz w:val="18"/>
                <w:szCs w:val="18"/>
                <w:color w:val="0000FF"/>
                <w:w w:val="83"/>
              </w:rPr>
              <w:t>3,899,100</w:t>
            </w:r>
            <w:r>
              <w:rPr>
                <w:rFonts w:ascii="Arial" w:cs="Arial" w:eastAsia="Arial" w:hAnsi="Arial"/>
                <w:sz w:val="22"/>
                <w:szCs w:val="22"/>
                <w:color w:val="008000"/>
                <w:w w:val="83"/>
                <w:vertAlign w:val="superscript"/>
              </w:rPr>
              <w:t>(6)</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(1)(2)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5"/>
            <w:vMerge w:val="restart"/>
          </w:tcPr>
          <w:p>
            <w:pPr>
              <w:jc w:val="right"/>
              <w:ind w:right="132"/>
              <w:spacing w:after="0"/>
              <w:rPr>
                <w:sz w:val="20"/>
                <w:szCs w:val="20"/>
                <w:color w:val="auto"/>
              </w:rPr>
            </w:pPr>
            <w:r>
              <w:rPr>
                <w:rFonts w:ascii="Arial" w:cs="Arial" w:eastAsia="Arial" w:hAnsi="Arial"/>
                <w:sz w:val="18"/>
                <w:szCs w:val="18"/>
                <w:color w:val="0000FF"/>
              </w:rPr>
              <w:t>02/28/2008</w:t>
            </w: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P</w:t>
            </w:r>
          </w:p>
        </w:tc>
        <w:tc>
          <w:tcPr>
            <w:tcW w:w="800" w:type="dxa"/>
            <w:vAlign w:val="bottom"/>
            <w:tcBorders>
              <w:top w:val="single" w:sz="8" w:color="2C2C2C"/>
            </w:tcBorders>
            <w:vMerge w:val="restart"/>
          </w:tcPr>
          <w:p>
            <w:pPr>
              <w:jc w:val="center"/>
              <w:ind w:right="4"/>
              <w:spacing w:after="0"/>
              <w:rPr>
                <w:sz w:val="20"/>
                <w:szCs w:val="20"/>
                <w:color w:val="auto"/>
              </w:rPr>
            </w:pPr>
            <w:r>
              <w:rPr>
                <w:rFonts w:ascii="Arial" w:cs="Arial" w:eastAsia="Arial" w:hAnsi="Arial"/>
                <w:sz w:val="18"/>
                <w:szCs w:val="18"/>
                <w:color w:val="0000FF"/>
                <w:w w:val="82"/>
              </w:rPr>
              <w:t>14,000</w:t>
            </w:r>
            <w:r>
              <w:rPr>
                <w:rFonts w:ascii="Arial" w:cs="Arial" w:eastAsia="Arial" w:hAnsi="Arial"/>
                <w:sz w:val="22"/>
                <w:szCs w:val="22"/>
                <w:color w:val="008000"/>
                <w:w w:val="82"/>
                <w:vertAlign w:val="superscript"/>
              </w:rPr>
              <w:t>(5)</w:t>
            </w:r>
          </w:p>
        </w:tc>
        <w:tc>
          <w:tcPr>
            <w:tcW w:w="5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8"/>
                <w:szCs w:val="18"/>
                <w:color w:val="0000FF"/>
              </w:rPr>
              <w:t>A</w:t>
            </w:r>
          </w:p>
        </w:tc>
        <w:tc>
          <w:tcPr>
            <w:tcW w:w="620" w:type="dxa"/>
            <w:vAlign w:val="bottom"/>
            <w:tcBorders>
              <w:top w:val="single" w:sz="8" w:color="2C2C2C"/>
            </w:tcBorders>
            <w:vMerge w:val="restart"/>
          </w:tcPr>
          <w:p>
            <w:pPr>
              <w:jc w:val="center"/>
              <w:ind w:left="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gridSpan w:val="2"/>
            <w:vMerge w:val="restart"/>
          </w:tcPr>
          <w:p>
            <w:pPr>
              <w:jc w:val="center"/>
              <w:ind w:right="119"/>
              <w:spacing w:after="0"/>
              <w:rPr>
                <w:sz w:val="20"/>
                <w:szCs w:val="20"/>
                <w:color w:val="auto"/>
              </w:rPr>
            </w:pPr>
            <w:r>
              <w:rPr>
                <w:rFonts w:ascii="Arial" w:cs="Arial" w:eastAsia="Arial" w:hAnsi="Arial"/>
                <w:sz w:val="18"/>
                <w:szCs w:val="18"/>
                <w:color w:val="0000FF"/>
                <w:w w:val="83"/>
              </w:rPr>
              <w:t>3,913,100</w:t>
            </w:r>
            <w:r>
              <w:rPr>
                <w:rFonts w:ascii="Arial" w:cs="Arial" w:eastAsia="Arial" w:hAnsi="Arial"/>
                <w:sz w:val="22"/>
                <w:szCs w:val="22"/>
                <w:color w:val="008000"/>
                <w:w w:val="83"/>
                <w:vertAlign w:val="superscript"/>
              </w:rPr>
              <w:t>(6)</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(1)(2)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5"/>
            <w:vMerge w:val="restart"/>
          </w:tcPr>
          <w:p>
            <w:pPr>
              <w:jc w:val="right"/>
              <w:ind w:right="132"/>
              <w:spacing w:after="0"/>
              <w:rPr>
                <w:sz w:val="20"/>
                <w:szCs w:val="20"/>
                <w:color w:val="auto"/>
              </w:rPr>
            </w:pPr>
            <w:r>
              <w:rPr>
                <w:rFonts w:ascii="Arial" w:cs="Arial" w:eastAsia="Arial" w:hAnsi="Arial"/>
                <w:sz w:val="18"/>
                <w:szCs w:val="18"/>
                <w:color w:val="0000FF"/>
              </w:rPr>
              <w:t>02/29/2008</w:t>
            </w: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P</w:t>
            </w:r>
          </w:p>
        </w:tc>
        <w:tc>
          <w:tcPr>
            <w:tcW w:w="800" w:type="dxa"/>
            <w:vAlign w:val="bottom"/>
            <w:tcBorders>
              <w:top w:val="single" w:sz="8" w:color="2C2C2C"/>
            </w:tcBorders>
            <w:vMerge w:val="restart"/>
          </w:tcPr>
          <w:p>
            <w:pPr>
              <w:jc w:val="center"/>
              <w:ind w:right="4"/>
              <w:spacing w:after="0"/>
              <w:rPr>
                <w:sz w:val="20"/>
                <w:szCs w:val="20"/>
                <w:color w:val="auto"/>
              </w:rPr>
            </w:pPr>
            <w:r>
              <w:rPr>
                <w:rFonts w:ascii="Arial" w:cs="Arial" w:eastAsia="Arial" w:hAnsi="Arial"/>
                <w:sz w:val="18"/>
                <w:szCs w:val="18"/>
                <w:color w:val="0000FF"/>
                <w:w w:val="82"/>
              </w:rPr>
              <w:t>12,400</w:t>
            </w:r>
            <w:r>
              <w:rPr>
                <w:rFonts w:ascii="Arial" w:cs="Arial" w:eastAsia="Arial" w:hAnsi="Arial"/>
                <w:sz w:val="22"/>
                <w:szCs w:val="22"/>
                <w:color w:val="008000"/>
                <w:w w:val="82"/>
                <w:vertAlign w:val="superscript"/>
              </w:rPr>
              <w:t>(3)</w:t>
            </w:r>
          </w:p>
        </w:tc>
        <w:tc>
          <w:tcPr>
            <w:tcW w:w="5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8"/>
                <w:szCs w:val="18"/>
                <w:color w:val="0000FF"/>
              </w:rPr>
              <w:t>A</w:t>
            </w:r>
          </w:p>
        </w:tc>
        <w:tc>
          <w:tcPr>
            <w:tcW w:w="6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4.9938</w:t>
            </w:r>
          </w:p>
        </w:tc>
        <w:tc>
          <w:tcPr>
            <w:tcW w:w="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gridSpan w:val="2"/>
            <w:vMerge w:val="restart"/>
          </w:tcPr>
          <w:p>
            <w:pPr>
              <w:jc w:val="center"/>
              <w:ind w:right="119"/>
              <w:spacing w:after="0"/>
              <w:rPr>
                <w:sz w:val="20"/>
                <w:szCs w:val="20"/>
                <w:color w:val="auto"/>
              </w:rPr>
            </w:pPr>
            <w:r>
              <w:rPr>
                <w:rFonts w:ascii="Arial" w:cs="Arial" w:eastAsia="Arial" w:hAnsi="Arial"/>
                <w:sz w:val="18"/>
                <w:szCs w:val="18"/>
                <w:color w:val="0000FF"/>
                <w:w w:val="83"/>
              </w:rPr>
              <w:t>3,925,500</w:t>
            </w:r>
            <w:r>
              <w:rPr>
                <w:rFonts w:ascii="Arial" w:cs="Arial" w:eastAsia="Arial" w:hAnsi="Arial"/>
                <w:sz w:val="22"/>
                <w:szCs w:val="22"/>
                <w:color w:val="008000"/>
                <w:w w:val="83"/>
                <w:vertAlign w:val="superscript"/>
              </w:rPr>
              <w:t>(6)</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(1)(2)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5"/>
            <w:vMerge w:val="restart"/>
          </w:tcPr>
          <w:p>
            <w:pPr>
              <w:jc w:val="right"/>
              <w:ind w:right="132"/>
              <w:spacing w:after="0"/>
              <w:rPr>
                <w:sz w:val="20"/>
                <w:szCs w:val="20"/>
                <w:color w:val="auto"/>
              </w:rPr>
            </w:pPr>
            <w:r>
              <w:rPr>
                <w:rFonts w:ascii="Arial" w:cs="Arial" w:eastAsia="Arial" w:hAnsi="Arial"/>
                <w:sz w:val="18"/>
                <w:szCs w:val="18"/>
                <w:color w:val="0000FF"/>
              </w:rPr>
              <w:t>02/29/2008</w:t>
            </w: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P</w:t>
            </w:r>
          </w:p>
        </w:tc>
        <w:tc>
          <w:tcPr>
            <w:tcW w:w="800" w:type="dxa"/>
            <w:vAlign w:val="bottom"/>
            <w:tcBorders>
              <w:top w:val="single" w:sz="8" w:color="2C2C2C"/>
            </w:tcBorders>
            <w:vMerge w:val="restart"/>
          </w:tcPr>
          <w:p>
            <w:pPr>
              <w:jc w:val="center"/>
              <w:ind w:right="4"/>
              <w:spacing w:after="0"/>
              <w:rPr>
                <w:sz w:val="20"/>
                <w:szCs w:val="20"/>
                <w:color w:val="auto"/>
              </w:rPr>
            </w:pPr>
            <w:r>
              <w:rPr>
                <w:rFonts w:ascii="Arial" w:cs="Arial" w:eastAsia="Arial" w:hAnsi="Arial"/>
                <w:sz w:val="18"/>
                <w:szCs w:val="18"/>
                <w:color w:val="0000FF"/>
                <w:w w:val="82"/>
              </w:rPr>
              <w:t>8,000</w:t>
            </w:r>
            <w:r>
              <w:rPr>
                <w:rFonts w:ascii="Arial" w:cs="Arial" w:eastAsia="Arial" w:hAnsi="Arial"/>
                <w:sz w:val="22"/>
                <w:szCs w:val="22"/>
                <w:color w:val="008000"/>
                <w:w w:val="82"/>
                <w:vertAlign w:val="superscript"/>
              </w:rPr>
              <w:t>(4)</w:t>
            </w:r>
          </w:p>
        </w:tc>
        <w:tc>
          <w:tcPr>
            <w:tcW w:w="5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8"/>
                <w:szCs w:val="18"/>
                <w:color w:val="0000FF"/>
              </w:rPr>
              <w:t>A</w:t>
            </w:r>
          </w:p>
        </w:tc>
        <w:tc>
          <w:tcPr>
            <w:tcW w:w="6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4.9938</w:t>
            </w:r>
          </w:p>
        </w:tc>
        <w:tc>
          <w:tcPr>
            <w:tcW w:w="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gridSpan w:val="2"/>
            <w:vMerge w:val="restart"/>
          </w:tcPr>
          <w:p>
            <w:pPr>
              <w:jc w:val="center"/>
              <w:ind w:right="119"/>
              <w:spacing w:after="0"/>
              <w:rPr>
                <w:sz w:val="20"/>
                <w:szCs w:val="20"/>
                <w:color w:val="auto"/>
              </w:rPr>
            </w:pPr>
            <w:r>
              <w:rPr>
                <w:rFonts w:ascii="Arial" w:cs="Arial" w:eastAsia="Arial" w:hAnsi="Arial"/>
                <w:sz w:val="18"/>
                <w:szCs w:val="18"/>
                <w:color w:val="0000FF"/>
                <w:w w:val="83"/>
              </w:rPr>
              <w:t>3,933,500</w:t>
            </w:r>
            <w:r>
              <w:rPr>
                <w:rFonts w:ascii="Arial" w:cs="Arial" w:eastAsia="Arial" w:hAnsi="Arial"/>
                <w:sz w:val="22"/>
                <w:szCs w:val="22"/>
                <w:color w:val="008000"/>
                <w:w w:val="83"/>
                <w:vertAlign w:val="superscript"/>
              </w:rPr>
              <w:t>(6)</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(1)(2)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5"/>
            <w:vMerge w:val="restart"/>
          </w:tcPr>
          <w:p>
            <w:pPr>
              <w:jc w:val="right"/>
              <w:ind w:right="132"/>
              <w:spacing w:after="0"/>
              <w:rPr>
                <w:sz w:val="20"/>
                <w:szCs w:val="20"/>
                <w:color w:val="auto"/>
              </w:rPr>
            </w:pPr>
            <w:r>
              <w:rPr>
                <w:rFonts w:ascii="Arial" w:cs="Arial" w:eastAsia="Arial" w:hAnsi="Arial"/>
                <w:sz w:val="18"/>
                <w:szCs w:val="18"/>
                <w:color w:val="0000FF"/>
              </w:rPr>
              <w:t>02/29/2008</w:t>
            </w: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P</w:t>
            </w:r>
          </w:p>
        </w:tc>
        <w:tc>
          <w:tcPr>
            <w:tcW w:w="800" w:type="dxa"/>
            <w:vAlign w:val="bottom"/>
            <w:tcBorders>
              <w:top w:val="single" w:sz="8" w:color="2C2C2C"/>
            </w:tcBorders>
            <w:vMerge w:val="restart"/>
          </w:tcPr>
          <w:p>
            <w:pPr>
              <w:jc w:val="center"/>
              <w:ind w:right="4"/>
              <w:spacing w:after="0"/>
              <w:rPr>
                <w:sz w:val="20"/>
                <w:szCs w:val="20"/>
                <w:color w:val="auto"/>
              </w:rPr>
            </w:pPr>
            <w:r>
              <w:rPr>
                <w:rFonts w:ascii="Arial" w:cs="Arial" w:eastAsia="Arial" w:hAnsi="Arial"/>
                <w:sz w:val="18"/>
                <w:szCs w:val="18"/>
                <w:color w:val="0000FF"/>
                <w:w w:val="82"/>
              </w:rPr>
              <w:t>27,000</w:t>
            </w:r>
            <w:r>
              <w:rPr>
                <w:rFonts w:ascii="Arial" w:cs="Arial" w:eastAsia="Arial" w:hAnsi="Arial"/>
                <w:sz w:val="22"/>
                <w:szCs w:val="22"/>
                <w:color w:val="008000"/>
                <w:w w:val="82"/>
                <w:vertAlign w:val="superscript"/>
              </w:rPr>
              <w:t>(5)</w:t>
            </w:r>
          </w:p>
        </w:tc>
        <w:tc>
          <w:tcPr>
            <w:tcW w:w="5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8"/>
                <w:szCs w:val="18"/>
                <w:color w:val="0000FF"/>
              </w:rPr>
              <w:t>A</w:t>
            </w:r>
          </w:p>
        </w:tc>
        <w:tc>
          <w:tcPr>
            <w:tcW w:w="6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4.9938</w:t>
            </w:r>
          </w:p>
        </w:tc>
        <w:tc>
          <w:tcPr>
            <w:tcW w:w="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gridSpan w:val="2"/>
            <w:vMerge w:val="restart"/>
          </w:tcPr>
          <w:p>
            <w:pPr>
              <w:jc w:val="center"/>
              <w:ind w:right="119"/>
              <w:spacing w:after="0"/>
              <w:rPr>
                <w:sz w:val="20"/>
                <w:szCs w:val="20"/>
                <w:color w:val="auto"/>
              </w:rPr>
            </w:pPr>
            <w:r>
              <w:rPr>
                <w:rFonts w:ascii="Arial" w:cs="Arial" w:eastAsia="Arial" w:hAnsi="Arial"/>
                <w:sz w:val="18"/>
                <w:szCs w:val="18"/>
                <w:color w:val="0000FF"/>
                <w:w w:val="83"/>
              </w:rPr>
              <w:t>3,960,500</w:t>
            </w:r>
            <w:r>
              <w:rPr>
                <w:rFonts w:ascii="Arial" w:cs="Arial" w:eastAsia="Arial" w:hAnsi="Arial"/>
                <w:sz w:val="22"/>
                <w:szCs w:val="22"/>
                <w:color w:val="008000"/>
                <w:w w:val="83"/>
                <w:vertAlign w:val="superscript"/>
              </w:rPr>
              <w:t>(6)</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(1)(2)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620" w:type="dxa"/>
            <w:vAlign w:val="bottom"/>
            <w:tcBorders>
              <w:top w:val="single" w:sz="8" w:color="2C2C2C"/>
            </w:tcBorders>
            <w:gridSpan w:val="20"/>
          </w:tcPr>
          <w:p>
            <w:pPr>
              <w:jc w:val="center"/>
              <w:ind w:left="1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40" w:type="dxa"/>
            <w:vAlign w:val="bottom"/>
            <w:gridSpan w:val="16"/>
          </w:tcPr>
          <w:p>
            <w:pPr>
              <w:jc w:val="center"/>
              <w:ind w:left="50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jc w:val="right"/>
              <w:ind w:right="152"/>
              <w:spacing w:after="0" w:line="135" w:lineRule="exact"/>
              <w:rPr>
                <w:sz w:val="20"/>
                <w:szCs w:val="20"/>
                <w:color w:val="auto"/>
              </w:rPr>
            </w:pPr>
            <w:r>
              <w:rPr>
                <w:rFonts w:ascii="Arial" w:cs="Arial" w:eastAsia="Arial" w:hAnsi="Arial"/>
                <w:sz w:val="12"/>
                <w:szCs w:val="12"/>
                <w:b w:val="1"/>
                <w:bCs w:val="1"/>
                <w:color w:val="auto"/>
                <w:w w:val="93"/>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4"/>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BVF PARTNERS L P/IL</w:t>
              </w:r>
            </w:hyperlink>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jc w:val="center"/>
              <w:spacing w:after="0"/>
              <w:rPr>
                <w:sz w:val="20"/>
                <w:szCs w:val="20"/>
                <w:color w:val="auto"/>
              </w:rPr>
            </w:pPr>
            <w:r>
              <w:rPr>
                <w:rFonts w:ascii="Arial" w:cs="Arial" w:eastAsia="Arial" w:hAnsi="Arial"/>
                <w:sz w:val="14"/>
                <w:szCs w:val="14"/>
                <w:color w:val="auto"/>
                <w:w w:val="98"/>
              </w:rPr>
              <w:t>(Middle)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ONE SANSOME STREET, 31ST FLOOR</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SAN FRANCISCO CA</w:t>
            </w:r>
          </w:p>
        </w:tc>
        <w:tc>
          <w:tcPr>
            <w:tcW w:w="1080" w:type="dxa"/>
            <w:vAlign w:val="bottom"/>
          </w:tcPr>
          <w:p>
            <w:pPr>
              <w:jc w:val="center"/>
              <w:ind w:left="46"/>
              <w:spacing w:after="0"/>
              <w:rPr>
                <w:sz w:val="20"/>
                <w:szCs w:val="20"/>
                <w:color w:val="auto"/>
              </w:rPr>
            </w:pPr>
            <w:r>
              <w:rPr>
                <w:rFonts w:ascii="Arial" w:cs="Arial" w:eastAsia="Arial" w:hAnsi="Arial"/>
                <w:sz w:val="18"/>
                <w:szCs w:val="18"/>
                <w:color w:val="0000FF"/>
                <w:w w:val="87"/>
              </w:rPr>
              <w:t>94104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BIOTECHNOLOGY VALUE FUND L P</w:t>
              </w:r>
            </w:hyperlink>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jc w:val="center"/>
              <w:spacing w:after="0"/>
              <w:rPr>
                <w:sz w:val="20"/>
                <w:szCs w:val="20"/>
                <w:color w:val="auto"/>
              </w:rPr>
            </w:pPr>
            <w:r>
              <w:rPr>
                <w:rFonts w:ascii="Arial" w:cs="Arial" w:eastAsia="Arial" w:hAnsi="Arial"/>
                <w:sz w:val="14"/>
                <w:szCs w:val="14"/>
                <w:color w:val="auto"/>
                <w:w w:val="98"/>
              </w:rPr>
              <w:t>(Middle)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900 N. MICHIGAN AVE., SUITE 1100</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749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574992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CHICAGO</w:t>
            </w:r>
          </w:p>
        </w:tc>
        <w:tc>
          <w:tcPr>
            <w:tcW w:w="1260" w:type="dxa"/>
            <w:vAlign w:val="bottom"/>
          </w:tcPr>
          <w:p>
            <w:pPr>
              <w:ind w:left="320"/>
              <w:spacing w:after="0"/>
              <w:rPr>
                <w:sz w:val="20"/>
                <w:szCs w:val="20"/>
                <w:color w:val="auto"/>
              </w:rPr>
            </w:pPr>
            <w:r>
              <w:rPr>
                <w:rFonts w:ascii="Arial" w:cs="Arial" w:eastAsia="Arial" w:hAnsi="Arial"/>
                <w:sz w:val="18"/>
                <w:szCs w:val="18"/>
                <w:color w:val="0000FF"/>
              </w:rPr>
              <w:t>IL</w:t>
            </w:r>
          </w:p>
        </w:tc>
        <w:tc>
          <w:tcPr>
            <w:tcW w:w="1940" w:type="dxa"/>
            <w:vAlign w:val="bottom"/>
          </w:tcPr>
          <w:p>
            <w:pPr>
              <w:ind w:left="520"/>
              <w:spacing w:after="0"/>
              <w:rPr>
                <w:sz w:val="20"/>
                <w:szCs w:val="20"/>
                <w:color w:val="auto"/>
              </w:rPr>
            </w:pPr>
            <w:r>
              <w:rPr>
                <w:rFonts w:ascii="Arial" w:cs="Arial" w:eastAsia="Arial" w:hAnsi="Arial"/>
                <w:sz w:val="18"/>
                <w:szCs w:val="18"/>
                <w:color w:val="0000FF"/>
              </w:rPr>
              <w:t>60611</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2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BIOTECHNOLOGY VALUE FUND II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w w:val="94"/>
              </w:rPr>
              <w:t>900 N. MICHIGAN AVE., SUITE 1100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CHICAGO</w:t>
            </w:r>
          </w:p>
        </w:tc>
        <w:tc>
          <w:tcPr>
            <w:tcW w:w="1580" w:type="dxa"/>
            <w:vAlign w:val="bottom"/>
            <w:gridSpan w:val="2"/>
          </w:tcPr>
          <w:p>
            <w:pPr>
              <w:ind w:left="160"/>
              <w:spacing w:after="0"/>
              <w:rPr>
                <w:sz w:val="20"/>
                <w:szCs w:val="20"/>
                <w:color w:val="auto"/>
              </w:rPr>
            </w:pPr>
            <w:r>
              <w:rPr>
                <w:rFonts w:ascii="Arial" w:cs="Arial" w:eastAsia="Arial" w:hAnsi="Arial"/>
                <w:sz w:val="18"/>
                <w:szCs w:val="18"/>
                <w:color w:val="0000FF"/>
              </w:rPr>
              <w:t>IL</w:t>
            </w:r>
          </w:p>
        </w:tc>
        <w:tc>
          <w:tcPr>
            <w:tcW w:w="1460" w:type="dxa"/>
            <w:vAlign w:val="bottom"/>
          </w:tcPr>
          <w:p>
            <w:pPr>
              <w:ind w:left="40"/>
              <w:spacing w:after="0"/>
              <w:rPr>
                <w:sz w:val="20"/>
                <w:szCs w:val="20"/>
                <w:color w:val="auto"/>
              </w:rPr>
            </w:pPr>
            <w:r>
              <w:rPr>
                <w:rFonts w:ascii="Arial" w:cs="Arial" w:eastAsia="Arial" w:hAnsi="Arial"/>
                <w:sz w:val="18"/>
                <w:szCs w:val="18"/>
                <w:color w:val="0000FF"/>
              </w:rPr>
              <w:t>60611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4"/>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BVF INVESTMENTS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w w:val="94"/>
              </w:rPr>
              <w:t>900 N. MICHIGAN AVE., SUITE 1100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CHICAGO</w:t>
            </w:r>
          </w:p>
        </w:tc>
        <w:tc>
          <w:tcPr>
            <w:tcW w:w="1580" w:type="dxa"/>
            <w:vAlign w:val="bottom"/>
            <w:gridSpan w:val="2"/>
          </w:tcPr>
          <w:p>
            <w:pPr>
              <w:ind w:left="160"/>
              <w:spacing w:after="0"/>
              <w:rPr>
                <w:sz w:val="20"/>
                <w:szCs w:val="20"/>
                <w:color w:val="auto"/>
              </w:rPr>
            </w:pPr>
            <w:r>
              <w:rPr>
                <w:rFonts w:ascii="Arial" w:cs="Arial" w:eastAsia="Arial" w:hAnsi="Arial"/>
                <w:sz w:val="18"/>
                <w:szCs w:val="18"/>
                <w:color w:val="0000FF"/>
              </w:rPr>
              <w:t>IL</w:t>
            </w:r>
          </w:p>
        </w:tc>
        <w:tc>
          <w:tcPr>
            <w:tcW w:w="1460" w:type="dxa"/>
            <w:vAlign w:val="bottom"/>
          </w:tcPr>
          <w:p>
            <w:pPr>
              <w:ind w:left="40"/>
              <w:spacing w:after="0"/>
              <w:rPr>
                <w:sz w:val="20"/>
                <w:szCs w:val="20"/>
                <w:color w:val="auto"/>
              </w:rPr>
            </w:pPr>
            <w:r>
              <w:rPr>
                <w:rFonts w:ascii="Arial" w:cs="Arial" w:eastAsia="Arial" w:hAnsi="Arial"/>
                <w:sz w:val="18"/>
                <w:szCs w:val="18"/>
                <w:color w:val="0000FF"/>
              </w:rPr>
              <w:t>60611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BVF INC/IL</w:t>
              </w:r>
            </w:hyperlink>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6"/>
          </w:tcPr>
          <w:p>
            <w:pPr>
              <w:spacing w:after="0"/>
              <w:rPr>
                <w:sz w:val="20"/>
                <w:szCs w:val="20"/>
                <w:color w:val="auto"/>
              </w:rPr>
            </w:pPr>
            <w:r>
              <w:rPr>
                <w:rFonts w:ascii="Arial" w:cs="Arial" w:eastAsia="Arial" w:hAnsi="Arial"/>
                <w:sz w:val="18"/>
                <w:szCs w:val="18"/>
                <w:color w:val="0000FF"/>
              </w:rPr>
              <w:t>ONE SANSOME STREET, 31ST FLOOR</w:t>
            </w:r>
          </w:p>
        </w:tc>
      </w:tr>
      <w:tr>
        <w:trPr>
          <w:trHeight w:val="212"/>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460" w:type="dxa"/>
            <w:vAlign w:val="bottom"/>
          </w:tcPr>
          <w:p>
            <w:pPr>
              <w:ind w:left="40"/>
              <w:spacing w:after="0"/>
              <w:rPr>
                <w:sz w:val="20"/>
                <w:szCs w:val="20"/>
                <w:color w:val="auto"/>
              </w:rPr>
            </w:pPr>
            <w:r>
              <w:rPr>
                <w:rFonts w:ascii="Arial" w:cs="Arial" w:eastAsia="Arial" w:hAnsi="Arial"/>
                <w:sz w:val="18"/>
                <w:szCs w:val="18"/>
                <w:color w:val="0000FF"/>
              </w:rPr>
              <w:t>94104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reported in this response are indirectly beneficially owned by BVF Partners L.P., a Delaware limited partnership ("Partners"), the designated filer of this joint filing on Form 4, and by its general partner, BVF Inc., a Delaware corporation ("BVF Inc."), which is also an investment advisor to Partners. Partners is the general partner of Biotechnology Value Fund, L.P., a Delaware limited partnership ("BVF, L.P.") and Biotechnology Value Fund II, L.P., a Delaware limited partnership ("BVF2, L.P."), both investment limited partnerships. Partners also is the manager of BVF Investments, L.L.C., a Delaware limited liability company ("Investments"). Pursuant to the operating agreement of Investments, Partners is authorized, among other things, to invest the funds of Ziff Asset Management, L.P., the majority member of Investments, in the shares of Common Stock reported in Table I as being beneficially owned by Investments.</w:t>
      </w:r>
    </w:p>
    <w:p>
      <w:pPr>
        <w:spacing w:after="0" w:line="11" w:lineRule="exact"/>
        <w:rPr>
          <w:rFonts w:ascii="Arial" w:cs="Arial" w:eastAsia="Arial" w:hAnsi="Arial"/>
          <w:sz w:val="12"/>
          <w:szCs w:val="12"/>
          <w:color w:val="008000"/>
        </w:rPr>
      </w:pPr>
    </w:p>
    <w:p>
      <w:pPr>
        <w:ind w:left="20" w:right="16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Mark N. Lampert is the sole shareholder and sole director of BVF Inc., and is an officer of BVF Inc. This joint filing on Form 4 shall not be deemed an admission that Mark N. Lampert is, for purposes of Section 16 of the Securities Exchange Act of 1934, as amended, or otherwise, the beneficial owner of any equity securities covered by this joint filing.</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directly beneficially owned by BVF,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directly beneficially owned by BVF2,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directly beneficially owned by Investments.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Total amount of shares indirectly beneficially owned by Partners and BVF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ectPr>
          <w:pgSz w:w="11900" w:h="16931" w:orient="portrait"/>
          <w:cols w:equalWidth="0" w:num="1">
            <w:col w:w="11300"/>
          </w:cols>
          <w:pgMar w:left="260" w:top="274" w:right="339" w:bottom="0" w:gutter="0" w:footer="0" w:header="0"/>
        </w:sectPr>
      </w:pP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BVF Partners L.P., By: BVF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Inc., its GP,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44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BIOTECHNOLOGY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449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4493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FUND, L.P. By: BVF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9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5953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its GP, By: BVF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690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163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1630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BIOTECHNOLOGY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449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4493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FUND II, L.P., By: BVF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966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966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Partners L.P., its GP, By: BVF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Inc., By: /s/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BVF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63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BVF Partners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614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614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Manager, By: BVF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14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40144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829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8295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BVF INC.,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20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204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0000FF"/>
        </w:rPr>
        <w:t>03/04/2008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03/04/2008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03/04/2008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03/04/2008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03/04/2008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2" w:lineRule="exact"/>
        <w:rPr>
          <w:sz w:val="20"/>
          <w:szCs w:val="20"/>
          <w:color w:val="auto"/>
        </w:rPr>
      </w:pPr>
    </w:p>
    <w:p>
      <w:pPr>
        <w:sectPr>
          <w:pgSz w:w="11900" w:h="16931" w:orient="portrait"/>
          <w:cols w:equalWidth="0" w:num="2">
            <w:col w:w="9060" w:space="80"/>
            <w:col w:w="2160"/>
          </w:cols>
          <w:pgMar w:left="260" w:top="274" w:right="339" w:bottom="0" w:gutter="0" w:footer="0" w:header="0"/>
          <w:type w:val="continuous"/>
        </w:sectPr>
      </w:pPr>
    </w:p>
    <w:p>
      <w:pPr>
        <w:jc w:val="right"/>
        <w:ind w:right="1880"/>
        <w:spacing w:after="0"/>
        <w:tabs>
          <w:tab w:leader="none" w:pos="26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80" w:firstLine="9"/>
        <w:spacing w:after="0" w:line="418"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31" w:orient="portrait"/>
          <w:cols w:equalWidth="0" w:num="1">
            <w:col w:w="11300"/>
          </w:cols>
          <w:pgMar w:left="260" w:top="274"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2" Type="http://schemas.openxmlformats.org/officeDocument/2006/relationships/hyperlink" Target="http://www.sec.gov/cgi-bin/browse-edgar?action=getcompany&amp;CIK=0001055947" TargetMode="External"/><Relationship Id="rId13" Type="http://schemas.openxmlformats.org/officeDocument/2006/relationships/hyperlink" Target="http://www.sec.gov/cgi-bin/browse-edgar?action=getcompany&amp;CIK=0000914475" TargetMode="External"/><Relationship Id="rId14" Type="http://schemas.openxmlformats.org/officeDocument/2006/relationships/hyperlink" Target="http://www.sec.gov/cgi-bin/browse-edgar?action=getcompany&amp;CIK=0000918923" TargetMode="External"/><Relationship Id="rId16" Type="http://schemas.openxmlformats.org/officeDocument/2006/relationships/hyperlink" Target="http://www.sec.gov/cgi-bin/browse-edgar?action=getcompany&amp;CIK=0001102444" TargetMode="External"/><Relationship Id="rId17" Type="http://schemas.openxmlformats.org/officeDocument/2006/relationships/hyperlink" Target="http://www.sec.gov/cgi-bin/browse-edgar?action=getcompany&amp;CIK=0001132245" TargetMode="External"/><Relationship Id="rId18" Type="http://schemas.openxmlformats.org/officeDocument/2006/relationships/hyperlink" Target="http://www.sec.gov/cgi-bin/browse-edgar?action=getcompany&amp;CIK=00010568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2019-12-16T19:40:16Z</dcterms:created>
  <dcterms:modified xsi:type="dcterms:W3CDTF">2019-12-16T19:40:16Z</dcterms:modified>
</cp:coreProperties>
</file>