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901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9018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Lippoldt Darin</w:t>
              </w:r>
            </w:hyperlink>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gridSpan w:val="8"/>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NEUROCRINE BIOSCIENCES INC </w:t>
              </w:r>
            </w:hyperlink>
            <w:r>
              <w:rPr>
                <w:rFonts w:ascii="Times New Roman" w:cs="Times New Roman" w:eastAsia="Times New Roman" w:hAnsi="Times New Roman"/>
                <w:sz w:val="19"/>
                <w:szCs w:val="19"/>
                <w:color w:val="000000"/>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Borders>
              <w:bottom w:val="single" w:sz="8" w:color="0000EE"/>
            </w:tcBorders>
            <w:gridSpan w:val="3"/>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0000EE"/>
              <w:bottom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NBIX </w:t>
            </w:r>
            <w:r>
              <w:rPr>
                <w:rFonts w:ascii="Times New Roman" w:cs="Times New Roman" w:eastAsia="Times New Roman" w:hAnsi="Times New Roman"/>
                <w:sz w:val="20"/>
                <w:szCs w:val="20"/>
                <w:color w:val="000000"/>
              </w:rPr>
              <w:t>]</w:t>
            </w:r>
          </w:p>
        </w:tc>
        <w:tc>
          <w:tcPr>
            <w:tcW w:w="6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tcPr>
          <w:p>
            <w:pPr>
              <w:spacing w:after="0"/>
              <w:rPr>
                <w:sz w:val="5"/>
                <w:szCs w:val="5"/>
                <w:color w:val="auto"/>
              </w:rPr>
            </w:pPr>
          </w:p>
        </w:tc>
        <w:tc>
          <w:tcPr>
            <w:tcW w:w="1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tcPr>
          <w:p>
            <w:pPr>
              <w:ind w:left="80"/>
              <w:spacing w:after="0" w:line="121"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EEEEEE"/>
            </w:tcBorders>
          </w:tcPr>
          <w:p>
            <w:pPr>
              <w:spacing w:after="0"/>
              <w:rPr>
                <w:sz w:val="9"/>
                <w:szCs w:val="9"/>
                <w:color w:val="auto"/>
              </w:rPr>
            </w:pPr>
          </w:p>
        </w:tc>
        <w:tc>
          <w:tcPr>
            <w:tcW w:w="6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EEEEEE"/>
            </w:tcBorders>
          </w:tcPr>
          <w:p>
            <w:pPr>
              <w:spacing w:after="0"/>
              <w:rPr>
                <w:sz w:val="9"/>
                <w:szCs w:val="9"/>
                <w:color w:val="auto"/>
              </w:rPr>
            </w:pPr>
          </w:p>
        </w:tc>
        <w:tc>
          <w:tcPr>
            <w:tcW w:w="1200" w:type="dxa"/>
            <w:vAlign w:val="bottom"/>
            <w:tcBorders>
              <w:top w:val="single" w:sz="8" w:color="EEEEEE"/>
              <w:bottom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gridSpan w:val="6"/>
            <w:vMerge w:val="restart"/>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6"/>
            <w:vMerge w:val="continue"/>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7"/>
                <w:szCs w:val="17"/>
                <w:color w:val="0000FF"/>
              </w:rPr>
              <w:t>Chief Legal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gridSpan w:val="6"/>
            <w:vMerge w:val="continue"/>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6027 EDGEWOOD BEND CT.</w:t>
            </w:r>
          </w:p>
        </w:tc>
        <w:tc>
          <w:tcPr>
            <w:tcW w:w="1140" w:type="dxa"/>
            <w:vAlign w:val="bottom"/>
          </w:tcPr>
          <w:p>
            <w:pPr>
              <w:spacing w:after="0"/>
              <w:rPr>
                <w:sz w:val="9"/>
                <w:szCs w:val="9"/>
                <w:color w:val="auto"/>
              </w:rPr>
            </w:pPr>
          </w:p>
        </w:tc>
        <w:tc>
          <w:tcPr>
            <w:tcW w:w="146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06/26/2026</w:t>
            </w: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46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3"/>
          </w:tcPr>
          <w:p>
            <w:pPr>
              <w:spacing w:after="0"/>
              <w:rPr>
                <w:sz w:val="9"/>
                <w:szCs w:val="9"/>
                <w:color w:val="auto"/>
              </w:rPr>
            </w:pPr>
          </w:p>
        </w:tc>
        <w:tc>
          <w:tcPr>
            <w:tcW w:w="1920" w:type="dxa"/>
            <w:vAlign w:val="bottom"/>
            <w:tcBorders>
              <w:bottom w:val="single" w:sz="8" w:color="2C2C2C"/>
            </w:tcBorders>
            <w:gridSpan w:val="4"/>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278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300" w:type="dxa"/>
            <w:vAlign w:val="bottom"/>
            <w:gridSpan w:val="8"/>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300" w:type="dxa"/>
            <w:vAlign w:val="bottom"/>
            <w:gridSpan w:val="8"/>
            <w:vMerge w:val="continue"/>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92130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gridSpan w:val="8"/>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00" w:type="dxa"/>
            <w:vAlign w:val="bottom"/>
            <w:gridSpan w:val="8"/>
          </w:tcPr>
          <w:p>
            <w:pPr>
              <w:ind w:left="1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5"/>
          </w:tcPr>
          <w:p>
            <w:pPr>
              <w:jc w:val="center"/>
              <w:ind w:left="3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4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80" w:type="dxa"/>
            <w:vAlign w:val="bottom"/>
            <w:gridSpan w:val="4"/>
          </w:tcPr>
          <w:p>
            <w:pPr>
              <w:jc w:val="center"/>
              <w:ind w:left="489"/>
              <w:spacing w:after="0"/>
              <w:rPr>
                <w:sz w:val="20"/>
                <w:szCs w:val="20"/>
                <w:color w:val="auto"/>
              </w:rPr>
            </w:pPr>
            <w:r>
              <w:rPr>
                <w:rFonts w:ascii="Times New Roman" w:cs="Times New Roman" w:eastAsia="Times New Roman" w:hAnsi="Times New Roman"/>
                <w:sz w:val="17"/>
                <w:szCs w:val="17"/>
                <w:color w:val="0000FF"/>
              </w:rPr>
              <w:t>06/26/2026</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2"/>
                <w:szCs w:val="22"/>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54,929</w:t>
            </w:r>
          </w:p>
        </w:tc>
        <w:tc>
          <w:tcPr>
            <w:tcW w:w="26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4"/>
          </w:tcPr>
          <w:p>
            <w:pPr>
              <w:jc w:val="center"/>
              <w:ind w:left="489"/>
              <w:spacing w:after="0"/>
              <w:rPr>
                <w:sz w:val="20"/>
                <w:szCs w:val="20"/>
                <w:color w:val="auto"/>
              </w:rPr>
            </w:pPr>
            <w:r>
              <w:rPr>
                <w:rFonts w:ascii="Times New Roman" w:cs="Times New Roman" w:eastAsia="Times New Roman" w:hAnsi="Times New Roman"/>
                <w:sz w:val="17"/>
                <w:szCs w:val="17"/>
                <w:color w:val="0000FF"/>
              </w:rPr>
              <w:t>06/26/2026</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169.565</w:t>
            </w:r>
            <w:r>
              <w:rPr>
                <w:rFonts w:ascii="Times New Roman" w:cs="Times New Roman" w:eastAsia="Times New Roman" w:hAnsi="Times New Roman"/>
                <w:sz w:val="21"/>
                <w:szCs w:val="21"/>
                <w:color w:val="008000"/>
                <w:w w:val="93"/>
                <w:vertAlign w:val="superscript"/>
              </w:rPr>
              <w:t>(2)</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54,729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80" w:type="dxa"/>
            <w:vAlign w:val="bottom"/>
            <w:gridSpan w:val="4"/>
          </w:tcPr>
          <w:p>
            <w:pPr>
              <w:jc w:val="center"/>
              <w:ind w:left="489"/>
              <w:spacing w:after="0"/>
              <w:rPr>
                <w:sz w:val="20"/>
                <w:szCs w:val="20"/>
                <w:color w:val="auto"/>
              </w:rPr>
            </w:pPr>
            <w:r>
              <w:rPr>
                <w:rFonts w:ascii="Times New Roman" w:cs="Times New Roman" w:eastAsia="Times New Roman" w:hAnsi="Times New Roman"/>
                <w:sz w:val="17"/>
                <w:szCs w:val="17"/>
                <w:color w:val="0000FF"/>
              </w:rPr>
              <w:t>06/29/2026</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9"/>
              </w:rPr>
              <w:t>8,110</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2"/>
                <w:szCs w:val="22"/>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62,839</w:t>
            </w:r>
          </w:p>
        </w:tc>
        <w:tc>
          <w:tcPr>
            <w:tcW w:w="26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4"/>
          </w:tcPr>
          <w:p>
            <w:pPr>
              <w:jc w:val="center"/>
              <w:ind w:left="489"/>
              <w:spacing w:after="0"/>
              <w:rPr>
                <w:sz w:val="20"/>
                <w:szCs w:val="20"/>
                <w:color w:val="auto"/>
              </w:rPr>
            </w:pPr>
            <w:r>
              <w:rPr>
                <w:rFonts w:ascii="Times New Roman" w:cs="Times New Roman" w:eastAsia="Times New Roman" w:hAnsi="Times New Roman"/>
                <w:sz w:val="17"/>
                <w:szCs w:val="17"/>
                <w:color w:val="0000FF"/>
              </w:rPr>
              <w:t>06/29/2026</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w w:val="99"/>
              </w:rPr>
              <w:t>8,110</w:t>
            </w:r>
          </w:p>
        </w:tc>
        <w:tc>
          <w:tcPr>
            <w:tcW w:w="4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170.025</w:t>
            </w:r>
            <w:r>
              <w:rPr>
                <w:rFonts w:ascii="Times New Roman" w:cs="Times New Roman" w:eastAsia="Times New Roman" w:hAnsi="Times New Roman"/>
                <w:sz w:val="21"/>
                <w:szCs w:val="21"/>
                <w:color w:val="008000"/>
                <w:w w:val="93"/>
                <w:vertAlign w:val="superscript"/>
              </w:rPr>
              <w:t>(3)</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54,729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80" w:type="dxa"/>
            <w:vAlign w:val="bottom"/>
            <w:gridSpan w:val="4"/>
          </w:tcPr>
          <w:p>
            <w:pPr>
              <w:jc w:val="center"/>
              <w:ind w:left="489"/>
              <w:spacing w:after="0"/>
              <w:rPr>
                <w:sz w:val="20"/>
                <w:szCs w:val="20"/>
                <w:color w:val="auto"/>
              </w:rPr>
            </w:pPr>
            <w:r>
              <w:rPr>
                <w:rFonts w:ascii="Times New Roman" w:cs="Times New Roman" w:eastAsia="Times New Roman" w:hAnsi="Times New Roman"/>
                <w:sz w:val="17"/>
                <w:szCs w:val="17"/>
                <w:color w:val="0000FF"/>
              </w:rPr>
              <w:t>06/29/2026</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9"/>
              </w:rPr>
              <w:t>1,690</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2"/>
                <w:szCs w:val="22"/>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56,419</w:t>
            </w:r>
          </w:p>
        </w:tc>
        <w:tc>
          <w:tcPr>
            <w:tcW w:w="26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4"/>
          </w:tcPr>
          <w:p>
            <w:pPr>
              <w:jc w:val="center"/>
              <w:ind w:left="489"/>
              <w:spacing w:after="0"/>
              <w:rPr>
                <w:sz w:val="20"/>
                <w:szCs w:val="20"/>
                <w:color w:val="auto"/>
              </w:rPr>
            </w:pPr>
            <w:r>
              <w:rPr>
                <w:rFonts w:ascii="Times New Roman" w:cs="Times New Roman" w:eastAsia="Times New Roman" w:hAnsi="Times New Roman"/>
                <w:sz w:val="17"/>
                <w:szCs w:val="17"/>
                <w:color w:val="0000FF"/>
              </w:rPr>
              <w:t>06/29/2026</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w w:val="99"/>
              </w:rPr>
              <w:t>1,690</w:t>
            </w:r>
          </w:p>
        </w:tc>
        <w:tc>
          <w:tcPr>
            <w:tcW w:w="4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170.8144</w:t>
            </w:r>
            <w:r>
              <w:rPr>
                <w:rFonts w:ascii="Times New Roman" w:cs="Times New Roman" w:eastAsia="Times New Roman" w:hAnsi="Times New Roman"/>
                <w:sz w:val="21"/>
                <w:szCs w:val="21"/>
                <w:color w:val="008000"/>
                <w:w w:val="93"/>
                <w:vertAlign w:val="superscript"/>
              </w:rPr>
              <w:t>(4)</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54,729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1"/>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4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2"/>
              </w:rPr>
              <w:t>200</w:t>
            </w:r>
          </w:p>
        </w:tc>
        <w:tc>
          <w:tcPr>
            <w:tcW w:w="4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02/05/2028</w:t>
            </w:r>
          </w:p>
        </w:tc>
        <w:tc>
          <w:tcPr>
            <w:tcW w:w="680" w:type="dxa"/>
            <w:vAlign w:val="bottom"/>
            <w:gridSpan w:val="3"/>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200</w:t>
            </w: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24,765</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gridSpan w:val="2"/>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06/29/2026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gridSpan w:val="2"/>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8,110</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02/05/2028</w:t>
            </w:r>
          </w:p>
        </w:tc>
        <w:tc>
          <w:tcPr>
            <w:tcW w:w="680" w:type="dxa"/>
            <w:vAlign w:val="bottom"/>
            <w:gridSpan w:val="3"/>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8,110</w:t>
            </w: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16,655</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gridSpan w:val="2"/>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06/29/2026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gridSpan w:val="2"/>
          </w:tcPr>
          <w:p>
            <w:pPr>
              <w:jc w:val="center"/>
              <w:ind w:left="280"/>
              <w:spacing w:after="0"/>
              <w:rPr>
                <w:sz w:val="20"/>
                <w:szCs w:val="20"/>
                <w:color w:val="auto"/>
              </w:rPr>
            </w:pPr>
            <w:r>
              <w:rPr>
                <w:rFonts w:ascii="Times New Roman" w:cs="Times New Roman" w:eastAsia="Times New Roman" w:hAnsi="Times New Roman"/>
                <w:sz w:val="13"/>
                <w:szCs w:val="13"/>
                <w:color w:val="0000FF"/>
              </w:rPr>
              <w:t>1,690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02/05/2028</w:t>
            </w:r>
          </w:p>
        </w:tc>
        <w:tc>
          <w:tcPr>
            <w:tcW w:w="1220" w:type="dxa"/>
            <w:vAlign w:val="bottom"/>
            <w:gridSpan w:val="5"/>
          </w:tcPr>
          <w:p>
            <w:pPr>
              <w:ind w:left="80"/>
              <w:spacing w:after="0" w:line="194"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1,690</w:t>
            </w:r>
          </w:p>
        </w:tc>
        <w:tc>
          <w:tcPr>
            <w:tcW w:w="5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14,965</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disposition reported in this Form 4 was effected by a broker pursuant to instructions set forth in a Rule 10b5-1 trading plan adopted by the Reporting Person on June 9, 2025. Additionally, Issuer policy restricts the Reporting Person from amending or otherwise modifying any 10b5-1 trading plan subsequent to adoption of the plan.</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$169.56 to $169.57. The Reporting Person has provided to the issuer, and will provide to any security holder of the issuer or the SEC staff, upon request, information regarding the number of shares sold at each price within the range.</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$169.57 to $170.56. The Reporting Person has provided to the issuer, and will provide to any security holder of the issuer or the SEC staff, upon request, information regarding the number of shares sold at each price within the range.</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$170.58 to $170.91. The Reporting Person has provided to the issuer, and will provide to any security holder of the issuer or the SEC staff, upon request, information regarding the number of shares sold at each price within the range.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February 5, 2018 and vested in 48 equal monthly installments beginning March 5, 2018.</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Darin Lippoldt</w:t>
            </w:r>
          </w:p>
        </w:tc>
        <w:tc>
          <w:tcPr>
            <w:tcW w:w="8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06/30/2026</w:t>
            </w:r>
          </w:p>
        </w:tc>
      </w:tr>
      <w:tr>
        <w:trPr>
          <w:trHeight w:val="20"/>
        </w:trPr>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04783" TargetMode="External"/><Relationship Id="rId14" Type="http://schemas.openxmlformats.org/officeDocument/2006/relationships/hyperlink" Target="http://www.sec.gov/cgi-bin/browse-edgar?action=getcompany&amp;CIK=0000914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2026-06-30T16:47:37Z</dcterms:created>
  <dcterms:modified xsi:type="dcterms:W3CDTF">2026-06-30T16:47:37Z</dcterms:modified>
</cp:coreProperties>
</file>