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06221.xml.htm"/>
      <w:bookmarkStart w:id="1" w:name="kswkform4_17895062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Cooke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6027 EDGEWOOD BEND CT.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NEUROCRINE BIOSCIENCES INC</w:t>
              </w:r>
            </w:hyperlink>
            <w:r>
              <w:rPr/>
              <w:t xml:space="preserve"> [ </w:t>
            </w:r>
            <w:r>
              <w:rPr>
                <w:rFonts w:ascii="Times;serif" w:hAnsi="Times;serif"/>
                <w:color w:val="0000FF"/>
                <w:sz w:val="24"/>
                <w:shd w:fill="FFFFFF" w:val="clear"/>
              </w:rPr>
              <w:t>NBIX</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3,587</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25,961</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1,936</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156.22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24,025</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was previously granted performance restricted stock units (PRSUs) that vest upon the achievement of certain performance metrics, the achievement of one of which was certified on September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by Neurocrine Biosciences, Inc. (the "Company" or "Issuer") to satisfy tax withholding requirements on vesting of PRSUs.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21,985 of the reported shares are held by the Cooke Family Trust of 2004 U/A 12/28/2004, of which the Reporting Person has voting and investment power.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Darin Lippoldt,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6977" TargetMode="External"/><Relationship Id="rId5" Type="http://schemas.openxmlformats.org/officeDocument/2006/relationships/hyperlink" Target="http://www.sec.gov/cgi-bin/browse-edgar?action=getcompany&amp;CIK=0000914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3588</Characters>
  <CharactersWithSpaces>4168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