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96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964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4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Norwalk Leslie V</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NEUROCRINE BIOSCIENCES INC </w:t>
              </w:r>
            </w:hyperlink>
            <w:r>
              <w:rPr>
                <w:rFonts w:ascii="Times New Roman" w:cs="Times New Roman" w:eastAsia="Times New Roman" w:hAnsi="Times New Roman"/>
                <w:sz w:val="12"/>
                <w:szCs w:val="12"/>
                <w:color w:val="000000"/>
              </w:rPr>
              <w:t>[</w:t>
            </w:r>
          </w:p>
        </w:tc>
        <w:tc>
          <w:tcPr>
            <w:tcW w:w="160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84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 xml:space="preserve">NBIX </w:t>
            </w:r>
            <w:r>
              <w:rPr>
                <w:rFonts w:ascii="Times New Roman" w:cs="Times New Roman" w:eastAsia="Times New Roman" w:hAnsi="Times New Roman"/>
                <w:sz w:val="21"/>
                <w:szCs w:val="21"/>
                <w:color w:val="000000"/>
              </w:rPr>
              <w:t>]</w:t>
            </w: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7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5"/>
                <w:szCs w:val="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29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6"/>
            <w:vMerge w:val="continue"/>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6027 EDGEWOOD BEND CT.</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220" w:type="dxa"/>
            <w:vAlign w:val="bottom"/>
            <w:tcBorders>
              <w:bottom w:val="single" w:sz="8" w:color="2C2C2C"/>
            </w:tcBorders>
            <w:gridSpan w:val="7"/>
          </w:tcPr>
          <w:p>
            <w:pPr>
              <w:spacing w:after="0"/>
              <w:rPr>
                <w:sz w:val="8"/>
                <w:szCs w:val="8"/>
                <w:color w:val="auto"/>
              </w:rPr>
            </w:pPr>
          </w:p>
        </w:tc>
        <w:tc>
          <w:tcPr>
            <w:tcW w:w="60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2780" w:type="dxa"/>
            <w:vAlign w:val="bottom"/>
            <w:tcBorders>
              <w:bottom w:val="single" w:sz="8" w:color="2C2C2C"/>
            </w:tcBorders>
            <w:gridSpan w:val="4"/>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8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3820" w:type="dxa"/>
            <w:vAlign w:val="bottom"/>
            <w:gridSpan w:val="10"/>
            <w:vMerge w:val="continue"/>
          </w:tcPr>
          <w:p>
            <w:pPr>
              <w:spacing w:after="0"/>
              <w:rPr>
                <w:sz w:val="7"/>
                <w:szCs w:val="7"/>
                <w:color w:val="auto"/>
              </w:rPr>
            </w:pPr>
          </w:p>
        </w:tc>
        <w:tc>
          <w:tcPr>
            <w:tcW w:w="334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4"/>
          </w:tcPr>
          <w:p>
            <w:pPr>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92130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gridSpan w:val="6"/>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00" w:type="dxa"/>
            <w:vAlign w:val="bottom"/>
            <w:gridSpan w:val="6"/>
          </w:tcPr>
          <w:p>
            <w:pPr>
              <w:ind w:left="80"/>
              <w:spacing w:after="0" w:line="12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4"/>
                <w:szCs w:val="14"/>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220" w:type="dxa"/>
            <w:vAlign w:val="bottom"/>
            <w:tcBorders>
              <w:bottom w:val="single" w:sz="8" w:color="2C2C2C"/>
            </w:tcBorders>
            <w:gridSpan w:val="7"/>
          </w:tcPr>
          <w:p>
            <w:pPr>
              <w:spacing w:after="0"/>
              <w:rPr>
                <w:sz w:val="10"/>
                <w:szCs w:val="10"/>
                <w:color w:val="auto"/>
              </w:rPr>
            </w:pPr>
          </w:p>
        </w:tc>
        <w:tc>
          <w:tcPr>
            <w:tcW w:w="5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20"/>
          </w:tcPr>
          <w:p>
            <w:pPr>
              <w:ind w:left="5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8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3"/>
            <w:vMerge w:val="restart"/>
          </w:tcPr>
          <w:p>
            <w:pPr>
              <w:spacing w:after="0"/>
              <w:rPr>
                <w:sz w:val="20"/>
                <w:szCs w:val="20"/>
                <w:color w:val="auto"/>
              </w:rPr>
            </w:pPr>
            <w:r>
              <w:rPr>
                <w:rFonts w:ascii="Arial" w:cs="Arial" w:eastAsia="Arial" w:hAnsi="Arial"/>
                <w:sz w:val="12"/>
                <w:szCs w:val="12"/>
                <w:b w:val="1"/>
                <w:bCs w:val="1"/>
                <w:color w:val="auto"/>
              </w:rPr>
              <w:t>(A) or</w:t>
            </w:r>
          </w:p>
        </w:tc>
        <w:tc>
          <w:tcPr>
            <w:tcW w:w="4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3"/>
            <w:vMerge w:val="continue"/>
          </w:tcPr>
          <w:p>
            <w:pPr>
              <w:spacing w:after="0"/>
              <w:rPr>
                <w:sz w:val="13"/>
                <w:szCs w:val="13"/>
                <w:color w:val="auto"/>
              </w:rPr>
            </w:pP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gridSpan w:val="3"/>
          </w:tcPr>
          <w:p>
            <w:pPr>
              <w:spacing w:after="0"/>
              <w:rPr>
                <w:sz w:val="20"/>
                <w:szCs w:val="20"/>
                <w:color w:val="auto"/>
              </w:rPr>
            </w:pPr>
            <w:r>
              <w:rPr>
                <w:rFonts w:ascii="Arial" w:cs="Arial" w:eastAsia="Arial" w:hAnsi="Arial"/>
                <w:sz w:val="12"/>
                <w:szCs w:val="12"/>
                <w:b w:val="1"/>
                <w:bCs w:val="1"/>
                <w:color w:val="auto"/>
              </w:rPr>
              <w:t>(D)</w:t>
            </w: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w w:val="98"/>
              </w:rPr>
              <w:t>06/04/2026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95"/>
              <w:spacing w:after="0"/>
              <w:rPr>
                <w:sz w:val="20"/>
                <w:szCs w:val="20"/>
                <w:color w:val="auto"/>
              </w:rPr>
            </w:pPr>
            <w:r>
              <w:rPr>
                <w:rFonts w:ascii="Times New Roman" w:cs="Times New Roman" w:eastAsia="Times New Roman" w:hAnsi="Times New Roman"/>
                <w:sz w:val="17"/>
                <w:szCs w:val="17"/>
                <w:color w:val="0000FF"/>
              </w:rPr>
              <w:t>1,250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5"/>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168.0573</w:t>
            </w:r>
            <w:r>
              <w:rPr>
                <w:rFonts w:ascii="Times New Roman" w:cs="Times New Roman" w:eastAsia="Times New Roman" w:hAnsi="Times New Roman"/>
                <w:sz w:val="22"/>
                <w:szCs w:val="22"/>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2,838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5"/>
                <w:szCs w:val="15"/>
                <w:color w:val="auto"/>
              </w:rPr>
            </w:pPr>
          </w:p>
        </w:tc>
        <w:tc>
          <w:tcPr>
            <w:tcW w:w="9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4"/>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4"/>
                <w:szCs w:val="14"/>
                <w:color w:val="auto"/>
              </w:rPr>
            </w:pPr>
          </w:p>
        </w:tc>
        <w:tc>
          <w:tcPr>
            <w:tcW w:w="380" w:type="dxa"/>
            <w:vAlign w:val="bottom"/>
            <w:gridSpan w:val="2"/>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disposition reported in this Form 4 was effected by a broker pursuant to instructions set forth in a Rule 10b5-1 trading plan adopted and effective on September 15, 2025. Additionally, Issuer policy restricts the Reporting Person from amending or otherwise modifying any 10b5-1 trading plan subsequent to adoption of the plan.</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per share. These shares were sold in multiple transactions at prices ranging from $168.00 to $168.2550. The Reporting Person has provided to the issuer, and will provide to any security holder of the issuer or the SEC staff, upon request, information regarding the number of shares sold at each price within the range.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Darin Lippoldt, Attorney-</w:t>
            </w:r>
          </w:p>
        </w:tc>
        <w:tc>
          <w:tcPr>
            <w:tcW w:w="8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33568" TargetMode="External"/><Relationship Id="rId14" Type="http://schemas.openxmlformats.org/officeDocument/2006/relationships/hyperlink" Target="http://www.sec.gov/cgi-bin/browse-edgar?action=getcompany&amp;CIK=00009144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2026-06-08T17:08:54Z</dcterms:created>
  <dcterms:modified xsi:type="dcterms:W3CDTF">2026-06-08T17:08:54Z</dcterms:modified>
</cp:coreProperties>
</file>