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6302.xml.htm"/>
      <w:bookmarkStart w:id="1" w:name="kswkform4_17895063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Gano Kyle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6027 EDGEWOOD BEND CT.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NEUROCRINE BIOSCIENCES INC</w:t>
              </w:r>
            </w:hyperlink>
            <w:r>
              <w:rPr/>
              <w:t xml:space="preserve"> [ </w:t>
            </w:r>
            <w:r>
              <w:rPr>
                <w:rFonts w:ascii="Times;serif" w:hAnsi="Times;serif"/>
                <w:color w:val="0000FF"/>
                <w:sz w:val="24"/>
                <w:shd w:fill="FFFFFF" w:val="clear"/>
              </w:rPr>
              <w:t>NBIX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42"/>
        <w:gridCol w:w="452"/>
        <w:gridCol w:w="838"/>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157,266</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3,386</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156.22</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153,880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155,722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994</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156.22</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154,728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previously granted performance restricted stock units (PRSUs) that vest upon the achievement of certain performance metrics, the achievement of one of which was certified on September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an aggregate of 176 shares purchased on February 27, 2026 from the Neurocrine Biosciences, Inc. 2018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withheld by Neurocrine Biosciences, Inc. (the "Company" or "Issuer") to satisfy tax withholding requirements on vesting of PRSUs. No shares were sold.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Darin Lippoldt,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7160" TargetMode="External"/><Relationship Id="rId5" Type="http://schemas.openxmlformats.org/officeDocument/2006/relationships/hyperlink" Target="http://www.sec.gov/cgi-bin/browse-edgar?action=getcompany&amp;CIK=0000914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3661</Characters>
  <CharactersWithSpaces>4237</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