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120"/>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17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line="204"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100"/>
        <w:spacing w:after="0"/>
        <w:tabs>
          <w:tab w:leader="none" w:pos="180" w:val="left"/>
        </w:tabs>
        <w:rPr>
          <w:sz w:val="20"/>
          <w:szCs w:val="20"/>
          <w:color w:val="auto"/>
        </w:rPr>
      </w:pPr>
      <w:r>
        <w:rPr>
          <w:rFonts w:ascii="Times New Roman" w:cs="Times New Roman" w:eastAsia="Times New Roman" w:hAnsi="Times New Roman"/>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3">
            <w:col w:w="2480" w:space="720"/>
            <w:col w:w="2980" w:space="80"/>
            <w:col w:w="3879"/>
          </w:cols>
          <w:pgMar w:left="320" w:top="144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10139"/>
          </w:cols>
          <w:pgMar w:left="320" w:top="1440" w:right="1440" w:bottom="1440" w:gutter="0" w:footer="0" w:header="0"/>
          <w:type w:val="continuous"/>
        </w:sectPr>
      </w:pPr>
    </w:p>
    <w:p>
      <w:pPr>
        <w:spacing w:after="0" w:line="200" w:lineRule="exact"/>
        <w:rPr>
          <w:sz w:val="24"/>
          <w:szCs w:val="24"/>
          <w:color w:val="auto"/>
        </w:rPr>
      </w:pPr>
    </w:p>
    <w:p>
      <w:pPr>
        <w:spacing w:after="0" w:line="214"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86"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59" w:lineRule="exact"/>
        <w:rPr>
          <w:rFonts w:ascii="MS PGothic" w:cs="MS PGothic" w:eastAsia="MS PGothic" w:hAnsi="MS PGothic"/>
          <w:sz w:val="18"/>
          <w:szCs w:val="18"/>
          <w:color w:val="auto"/>
        </w:rPr>
      </w:pPr>
    </w:p>
    <w:p>
      <w:pPr>
        <w:ind w:left="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124"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35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9"/>
          <w:szCs w:val="39"/>
          <w:b w:val="1"/>
          <w:bCs w:val="1"/>
          <w:color w:val="auto"/>
        </w:rPr>
        <w:t>Neurocrine Biosciences, Inc.</w:t>
      </w:r>
    </w:p>
    <w:p>
      <w:pPr>
        <w:spacing w:after="0" w:line="25"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66"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360"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0" w:lineRule="exact"/>
        <w:rPr>
          <w:sz w:val="24"/>
          <w:szCs w:val="24"/>
          <w:color w:val="auto"/>
        </w:rPr>
      </w:pPr>
    </w:p>
    <w:p>
      <w:pPr>
        <w:ind w:left="480" w:hanging="454"/>
        <w:spacing w:after="0"/>
        <w:tabs>
          <w:tab w:leader="none" w:pos="4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80" w:hanging="454"/>
        <w:spacing w:after="0"/>
        <w:tabs>
          <w:tab w:leader="none" w:pos="4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939165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 w:name="page2"/>
    <w:bookmarkEnd w:id="1"/>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2660015</wp:posOffset>
            </wp:positionH>
            <wp:positionV relativeFrom="page">
              <wp:posOffset>500380</wp:posOffset>
            </wp:positionV>
            <wp:extent cx="2237105" cy="402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237105" cy="402590"/>
                    </a:xfrm>
                    <a:prstGeom prst="rect">
                      <a:avLst/>
                    </a:prstGeom>
                    <a:noFill/>
                  </pic:spPr>
                </pic:pic>
              </a:graphicData>
            </a:graphic>
          </wp:anchor>
        </w:drawing>
      </w:r>
    </w:p>
    <w:p>
      <w:pPr>
        <w:ind w:left="4140"/>
        <w:spacing w:after="0"/>
        <w:rPr>
          <w:sz w:val="20"/>
          <w:szCs w:val="20"/>
          <w:color w:val="auto"/>
        </w:rPr>
      </w:pPr>
      <w:r>
        <w:rPr>
          <w:rFonts w:ascii="Times New Roman" w:cs="Times New Roman" w:eastAsia="Times New Roman" w:hAnsi="Times New Roman"/>
          <w:sz w:val="18"/>
          <w:szCs w:val="18"/>
          <w:b w:val="1"/>
          <w:bCs w:val="1"/>
          <w:color w:val="auto"/>
        </w:rPr>
        <w:t>NEUROCRINE BIOSCIENCES, INC.</w:t>
      </w:r>
    </w:p>
    <w:p>
      <w:pPr>
        <w:ind w:left="4540"/>
        <w:spacing w:after="0" w:line="210" w:lineRule="auto"/>
        <w:rPr>
          <w:sz w:val="20"/>
          <w:szCs w:val="20"/>
          <w:color w:val="auto"/>
        </w:rPr>
      </w:pPr>
      <w:r>
        <w:rPr>
          <w:rFonts w:ascii="Times New Roman" w:cs="Times New Roman" w:eastAsia="Times New Roman" w:hAnsi="Times New Roman"/>
          <w:sz w:val="18"/>
          <w:szCs w:val="18"/>
          <w:b w:val="1"/>
          <w:bCs w:val="1"/>
          <w:color w:val="auto"/>
        </w:rPr>
        <w:t>6027 Edgewood Bend Court</w:t>
      </w: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San Diego, CA 92130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To Be Held on May 22,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w:t>
      </w:r>
    </w:p>
    <w:p>
      <w:pPr>
        <w:spacing w:after="0" w:line="252" w:lineRule="exact"/>
        <w:rPr>
          <w:sz w:val="20"/>
          <w:szCs w:val="20"/>
          <w:color w:val="auto"/>
        </w:rPr>
      </w:pPr>
    </w:p>
    <w:p>
      <w:pPr>
        <w:ind w:right="580" w:firstLine="551"/>
        <w:spacing w:after="0" w:line="226" w:lineRule="auto"/>
        <w:rPr>
          <w:sz w:val="20"/>
          <w:szCs w:val="20"/>
          <w:color w:val="auto"/>
        </w:rPr>
      </w:pPr>
      <w:r>
        <w:rPr>
          <w:rFonts w:ascii="Times New Roman" w:cs="Times New Roman" w:eastAsia="Times New Roman" w:hAnsi="Times New Roman"/>
          <w:sz w:val="18"/>
          <w:szCs w:val="18"/>
          <w:color w:val="auto"/>
        </w:rPr>
        <w:t>NOTICE IS HEREBY GIVEN that the 2024 Annual Meeting of Stockholders of Neurocrine Biosciences, Inc., a Delaware corporation (the “Company”), will be held on May 22, 2024, at 10:30 a.m., local time, at the Company’s corporate offices located at 6027 Edgewood Bend Court, San Diego, California 92130, for the following purposes as more fully described in the Proxy Statement accompanying this Notice:</w:t>
      </w:r>
    </w:p>
    <w:p>
      <w:pPr>
        <w:spacing w:after="0" w:line="90" w:lineRule="exact"/>
        <w:rPr>
          <w:sz w:val="20"/>
          <w:szCs w:val="20"/>
          <w:color w:val="auto"/>
        </w:rPr>
      </w:pPr>
    </w:p>
    <w:p>
      <w:pPr>
        <w:ind w:left="1100" w:hanging="314"/>
        <w:spacing w:after="0"/>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the four nominees for Class I directors named herein to the Board of Directors to serve for a term of three years;</w:t>
      </w:r>
    </w:p>
    <w:p>
      <w:pPr>
        <w:spacing w:after="0" w:line="117" w:lineRule="exact"/>
        <w:rPr>
          <w:rFonts w:ascii="Times New Roman" w:cs="Times New Roman" w:eastAsia="Times New Roman" w:hAnsi="Times New Roman"/>
          <w:sz w:val="18"/>
          <w:szCs w:val="18"/>
          <w:color w:val="auto"/>
        </w:rPr>
      </w:pPr>
    </w:p>
    <w:p>
      <w:pPr>
        <w:ind w:left="1100" w:hanging="314"/>
        <w:spacing w:after="0"/>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vote on the compensation paid to the Company’s named executive officers;</w:t>
      </w:r>
    </w:p>
    <w:p>
      <w:pPr>
        <w:spacing w:after="0" w:line="117" w:lineRule="exact"/>
        <w:rPr>
          <w:rFonts w:ascii="Times New Roman" w:cs="Times New Roman" w:eastAsia="Times New Roman" w:hAnsi="Times New Roman"/>
          <w:sz w:val="18"/>
          <w:szCs w:val="18"/>
          <w:color w:val="auto"/>
        </w:rPr>
      </w:pPr>
    </w:p>
    <w:p>
      <w:pPr>
        <w:ind w:left="1100" w:right="280" w:hanging="314"/>
        <w:spacing w:after="0" w:line="250" w:lineRule="auto"/>
        <w:tabs>
          <w:tab w:leader="none" w:pos="108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2020 Equity Incentive Plan to increase the number of shares of common stock reserved for issuance thereunder by 3,635,000 shares;</w:t>
      </w:r>
    </w:p>
    <w:p>
      <w:pPr>
        <w:spacing w:after="0" w:line="68" w:lineRule="exact"/>
        <w:rPr>
          <w:rFonts w:ascii="Times New Roman" w:cs="Times New Roman" w:eastAsia="Times New Roman" w:hAnsi="Times New Roman"/>
          <w:sz w:val="18"/>
          <w:szCs w:val="18"/>
          <w:color w:val="auto"/>
        </w:rPr>
      </w:pPr>
    </w:p>
    <w:p>
      <w:pPr>
        <w:ind w:left="1100" w:right="240" w:hanging="314"/>
        <w:spacing w:after="0" w:line="250" w:lineRule="auto"/>
        <w:tabs>
          <w:tab w:leader="none" w:pos="108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Ernst &amp; Young LLP as the Company’s independent registered public accounting firm for the fiscal year ending December 31, 2024; and</w:t>
      </w:r>
    </w:p>
    <w:p>
      <w:pPr>
        <w:spacing w:after="0" w:line="81" w:lineRule="exact"/>
        <w:rPr>
          <w:rFonts w:ascii="Times New Roman" w:cs="Times New Roman" w:eastAsia="Times New Roman" w:hAnsi="Times New Roman"/>
          <w:sz w:val="18"/>
          <w:szCs w:val="18"/>
          <w:color w:val="auto"/>
        </w:rPr>
      </w:pPr>
    </w:p>
    <w:p>
      <w:pPr>
        <w:ind w:left="1100" w:right="400" w:hanging="314"/>
        <w:spacing w:after="0" w:line="237" w:lineRule="auto"/>
        <w:tabs>
          <w:tab w:leader="none" w:pos="108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of Stockholders or any continuation, adjournment or postponement thereof.</w:t>
      </w:r>
    </w:p>
    <w:p>
      <w:pPr>
        <w:spacing w:after="0" w:line="91" w:lineRule="exact"/>
        <w:rPr>
          <w:sz w:val="20"/>
          <w:szCs w:val="20"/>
          <w:color w:val="auto"/>
        </w:rPr>
      </w:pPr>
    </w:p>
    <w:p>
      <w:pPr>
        <w:ind w:right="520" w:firstLine="551"/>
        <w:spacing w:after="0" w:line="237" w:lineRule="auto"/>
        <w:rPr>
          <w:sz w:val="20"/>
          <w:szCs w:val="20"/>
          <w:color w:val="auto"/>
        </w:rPr>
      </w:pPr>
      <w:r>
        <w:rPr>
          <w:rFonts w:ascii="Times New Roman" w:cs="Times New Roman" w:eastAsia="Times New Roman" w:hAnsi="Times New Roman"/>
          <w:sz w:val="18"/>
          <w:szCs w:val="18"/>
          <w:color w:val="auto"/>
        </w:rPr>
        <w:t>Only stockholders of record at the close of business on March 25, 2024 are entitled to receive notice of and to vote at the Annual Meeting of Stockholders.</w:t>
      </w:r>
    </w:p>
    <w:p>
      <w:pPr>
        <w:spacing w:after="0" w:line="172" w:lineRule="exact"/>
        <w:rPr>
          <w:sz w:val="20"/>
          <w:szCs w:val="20"/>
          <w:color w:val="auto"/>
        </w:rPr>
      </w:pPr>
    </w:p>
    <w:p>
      <w:pPr>
        <w:ind w:right="100" w:firstLine="551"/>
        <w:spacing w:after="0" w:line="229" w:lineRule="auto"/>
        <w:rPr>
          <w:sz w:val="20"/>
          <w:szCs w:val="20"/>
          <w:color w:val="auto"/>
        </w:rPr>
      </w:pPr>
      <w:r>
        <w:rPr>
          <w:rFonts w:ascii="Times New Roman" w:cs="Times New Roman" w:eastAsia="Times New Roman" w:hAnsi="Times New Roman"/>
          <w:sz w:val="17"/>
          <w:szCs w:val="17"/>
          <w:color w:val="auto"/>
        </w:rPr>
        <w:t xml:space="preserve">All stockholders are invited to attend the Annual Meeting of Stockholders in person. However, we strongly urge our stockholders not to attend the Annual Meeting in person and to instead submit proxy votes. Our Annual Meeting will be purely functional in format to comply with the relevant legal requirements. There will be no presentations or exhibitions. No refreshments will be provided. </w:t>
      </w:r>
      <w:r>
        <w:rPr>
          <w:rFonts w:ascii="Times New Roman" w:cs="Times New Roman" w:eastAsia="Times New Roman" w:hAnsi="Times New Roman"/>
          <w:sz w:val="17"/>
          <w:szCs w:val="17"/>
          <w:b w:val="1"/>
          <w:bCs w:val="1"/>
          <w:color w:val="auto"/>
        </w:rPr>
        <w:t>Your vote is important. Whether or not you plan to</w:t>
      </w:r>
    </w:p>
    <w:p>
      <w:pPr>
        <w:jc w:val="both"/>
        <w:ind w:right="180"/>
        <w:spacing w:after="0" w:line="220" w:lineRule="auto"/>
        <w:rPr>
          <w:sz w:val="20"/>
          <w:szCs w:val="20"/>
          <w:color w:val="auto"/>
        </w:rPr>
      </w:pPr>
      <w:r>
        <w:rPr>
          <w:rFonts w:ascii="Times New Roman" w:cs="Times New Roman" w:eastAsia="Times New Roman" w:hAnsi="Times New Roman"/>
          <w:sz w:val="17"/>
          <w:szCs w:val="17"/>
          <w:b w:val="1"/>
          <w:bCs w:val="1"/>
          <w:color w:val="auto"/>
        </w:rPr>
        <w:t xml:space="preserve">attend the Annual Meeting, we encourage you to submit your proxy or voting instructions as soon as possible to vote your shares. </w:t>
      </w:r>
      <w:r>
        <w:rPr>
          <w:rFonts w:ascii="Times New Roman" w:cs="Times New Roman" w:eastAsia="Times New Roman" w:hAnsi="Times New Roman"/>
          <w:sz w:val="17"/>
          <w:szCs w:val="17"/>
          <w:color w:val="auto"/>
        </w:rPr>
        <w:t>You may vote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over the Internet, as well as by telephone or by mailing a proxy or voting instruction form. Please review the instructions on each of your voting options described in these proxy materials. Stockholders attending the Annual Meeting may vote in person even if they have returned a proxy. If you hold shares</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through an account with a brokerage firm, bank or other nominee, please follow the instructions you receive from such firm, bank or other nominee to vote your shares.</w:t>
      </w:r>
    </w:p>
    <w:p>
      <w:pPr>
        <w:spacing w:after="0" w:line="200" w:lineRule="exact"/>
        <w:rPr>
          <w:sz w:val="20"/>
          <w:szCs w:val="20"/>
          <w:color w:val="auto"/>
        </w:rPr>
      </w:pPr>
    </w:p>
    <w:p>
      <w:pPr>
        <w:spacing w:after="0" w:line="28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188595</wp:posOffset>
            </wp:positionV>
            <wp:extent cx="1106170" cy="488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0617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Darin Lippoldt</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rPr>
          <w:sz w:val="20"/>
          <w:szCs w:val="20"/>
          <w:color w:val="auto"/>
        </w:rPr>
      </w:pPr>
      <w:r>
        <w:rPr>
          <w:rFonts w:ascii="Times New Roman" w:cs="Times New Roman" w:eastAsia="Times New Roman" w:hAnsi="Times New Roman"/>
          <w:sz w:val="18"/>
          <w:szCs w:val="18"/>
          <w:color w:val="auto"/>
        </w:rPr>
        <w:t>April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line="227"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Stockholders’ Meeting to be Held on May 22, 2024 at 10:30 a.m. Local Time at 6027 Edgewood Bend Court, San Diego, California 92130.</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Proxy Statement and Annual Report to stockholders are available at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www.proxyvote.com</w:t>
      </w:r>
      <w:r>
        <w:rPr>
          <w:rFonts w:ascii="Times New Roman" w:cs="Times New Roman" w:eastAsia="Times New Roman" w:hAnsi="Times New Roman"/>
          <w:sz w:val="18"/>
          <w:szCs w:val="18"/>
          <w:b w:val="1"/>
          <w:bCs w:val="1"/>
          <w:color w:val="auto"/>
        </w:rPr>
        <w:t>. Please have the control number on your proxy card available.</w:t>
      </w:r>
    </w:p>
    <w:p>
      <w:pPr>
        <w:spacing w:after="0" w:line="188" w:lineRule="exact"/>
        <w:rPr>
          <w:sz w:val="20"/>
          <w:szCs w:val="20"/>
          <w:color w:val="auto"/>
        </w:rPr>
      </w:pPr>
    </w:p>
    <w:p>
      <w:pPr>
        <w:jc w:val="center"/>
        <w:spacing w:after="0" w:line="225" w:lineRule="auto"/>
        <w:rPr>
          <w:sz w:val="20"/>
          <w:szCs w:val="20"/>
          <w:color w:val="auto"/>
        </w:rPr>
      </w:pPr>
      <w:r>
        <w:rPr>
          <w:rFonts w:ascii="Times New Roman" w:cs="Times New Roman" w:eastAsia="Times New Roman" w:hAnsi="Times New Roman"/>
          <w:sz w:val="18"/>
          <w:szCs w:val="18"/>
          <w:b w:val="1"/>
          <w:bCs w:val="1"/>
          <w:color w:val="auto"/>
        </w:rPr>
        <w:t>A copy of the Company’s Annual Report to the Securities and Exchange Commission on Form 10-K for the fiscal year ended December 31, 2023 is available without charge upon written request to the Company’s Corporate Secretary at</w:t>
      </w:r>
    </w:p>
    <w:p>
      <w:pPr>
        <w:jc w:val="center"/>
        <w:spacing w:after="0"/>
        <w:rPr>
          <w:sz w:val="20"/>
          <w:szCs w:val="20"/>
          <w:color w:val="auto"/>
        </w:rPr>
      </w:pPr>
      <w:r>
        <w:rPr>
          <w:rFonts w:ascii="Times New Roman" w:cs="Times New Roman" w:eastAsia="Times New Roman" w:hAnsi="Times New Roman"/>
          <w:sz w:val="18"/>
          <w:szCs w:val="18"/>
          <w:b w:val="1"/>
          <w:bCs w:val="1"/>
          <w:color w:val="auto"/>
        </w:rPr>
        <w:t>12780 El Camino Real, San Diego, California 92130.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454660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880" w:type="dxa"/>
            <w:vAlign w:val="bottom"/>
            <w:gridSpan w:val="42"/>
          </w:tcPr>
          <w:p>
            <w:pPr>
              <w:spacing w:after="0"/>
              <w:rPr>
                <w:sz w:val="20"/>
                <w:szCs w:val="20"/>
                <w:color w:val="auto"/>
              </w:rPr>
            </w:pPr>
            <w:r>
              <w:rPr>
                <w:rFonts w:ascii="Times New Roman" w:cs="Times New Roman" w:eastAsia="Times New Roman" w:hAnsi="Times New Roman"/>
                <w:sz w:val="16"/>
                <w:szCs w:val="16"/>
                <w:b w:val="1"/>
                <w:bCs w:val="1"/>
                <w:color w:val="0000FF"/>
              </w:rPr>
              <w:t>Proxy Summary</w:t>
            </w: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1</w:t>
            </w:r>
          </w:p>
        </w:tc>
        <w:tc>
          <w:tcPr>
            <w:tcW w:w="80" w:type="dxa"/>
            <w:vAlign w:val="bottom"/>
          </w:tcPr>
          <w:p>
            <w:pPr>
              <w:spacing w:after="0"/>
              <w:rPr>
                <w:sz w:val="16"/>
                <w:szCs w:val="16"/>
                <w:color w:val="auto"/>
              </w:rPr>
            </w:pPr>
          </w:p>
        </w:tc>
        <w:tc>
          <w:tcPr>
            <w:tcW w:w="492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Our Compensation Practices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0"/>
        </w:trPr>
        <w:tc>
          <w:tcPr>
            <w:tcW w:w="640" w:type="dxa"/>
            <w:vAlign w:val="bottom"/>
            <w:tcBorders>
              <w:right w:val="single" w:sz="8" w:color="0000FF"/>
            </w:tcBorders>
            <w:gridSpan w:val="5"/>
          </w:tcPr>
          <w:p>
            <w:pPr>
              <w:spacing w:after="0" w:line="20" w:lineRule="exact"/>
              <w:rPr>
                <w:sz w:val="1"/>
                <w:szCs w:val="1"/>
                <w:color w:val="auto"/>
              </w:rPr>
            </w:pPr>
          </w:p>
        </w:tc>
        <w:tc>
          <w:tcPr>
            <w:tcW w:w="6300" w:type="dxa"/>
            <w:vAlign w:val="bottom"/>
            <w:gridSpan w:val="41"/>
            <w:shd w:val="clear" w:color="auto" w:fill="0000FF"/>
          </w:tcPr>
          <w:p>
            <w:pPr>
              <w:spacing w:after="0" w:line="20" w:lineRule="exact"/>
              <w:rPr>
                <w:sz w:val="1"/>
                <w:szCs w:val="1"/>
                <w:color w:val="auto"/>
              </w:rPr>
            </w:pPr>
          </w:p>
        </w:tc>
        <w:tc>
          <w:tcPr>
            <w:tcW w:w="760" w:type="dxa"/>
            <w:vAlign w:val="bottom"/>
            <w:tcBorders>
              <w:left w:val="single" w:sz="8" w:color="0000FF"/>
            </w:tcBorders>
            <w:gridSpan w:val="3"/>
            <w:shd w:val="clear" w:color="auto" w:fill="0000FF"/>
          </w:tcPr>
          <w:p>
            <w:pPr>
              <w:spacing w:after="0" w:line="20" w:lineRule="exact"/>
              <w:rPr>
                <w:sz w:val="1"/>
                <w:szCs w:val="1"/>
                <w:color w:val="auto"/>
              </w:rPr>
            </w:pPr>
          </w:p>
        </w:tc>
        <w:tc>
          <w:tcPr>
            <w:tcW w:w="3540" w:type="dxa"/>
            <w:vAlign w:val="bottom"/>
            <w:tcBorders>
              <w:left w:val="single" w:sz="8" w:color="0000FF"/>
            </w:tcBorders>
            <w:gridSpan w:val="25"/>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8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6"/>
                <w:szCs w:val="16"/>
                <w:b w:val="1"/>
                <w:bCs w:val="1"/>
                <w:color w:val="0000FF"/>
              </w:rPr>
              <w:t>About the Annual Meeting</w:t>
            </w:r>
          </w:p>
        </w:tc>
        <w:tc>
          <w:tcPr>
            <w:tcW w:w="3020" w:type="dxa"/>
            <w:vAlign w:val="bottom"/>
            <w:gridSpan w:val="26"/>
          </w:tcPr>
          <w:p>
            <w:pPr>
              <w:spacing w:after="0"/>
              <w:rPr>
                <w:sz w:val="24"/>
                <w:szCs w:val="24"/>
                <w:color w:val="auto"/>
              </w:rPr>
            </w:pP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w:t>
            </w:r>
          </w:p>
        </w:tc>
        <w:tc>
          <w:tcPr>
            <w:tcW w:w="80" w:type="dxa"/>
            <w:vAlign w:val="bottom"/>
          </w:tcPr>
          <w:p>
            <w:pPr>
              <w:spacing w:after="0"/>
              <w:rPr>
                <w:sz w:val="24"/>
                <w:szCs w:val="24"/>
                <w:color w:val="auto"/>
              </w:rPr>
            </w:pPr>
          </w:p>
        </w:tc>
        <w:tc>
          <w:tcPr>
            <w:tcW w:w="24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Role of the Compensation Committee</w:t>
            </w:r>
          </w:p>
        </w:tc>
        <w:tc>
          <w:tcPr>
            <w:tcW w:w="2460" w:type="dxa"/>
            <w:vAlign w:val="bottom"/>
            <w:gridSpan w:val="16"/>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196"/>
        </w:trPr>
        <w:tc>
          <w:tcPr>
            <w:tcW w:w="20" w:type="dxa"/>
            <w:vAlign w:val="bottom"/>
          </w:tcPr>
          <w:p>
            <w:pPr>
              <w:spacing w:after="0"/>
              <w:rPr>
                <w:sz w:val="17"/>
                <w:szCs w:val="17"/>
                <w:color w:val="auto"/>
              </w:rPr>
            </w:pPr>
          </w:p>
        </w:tc>
        <w:tc>
          <w:tcPr>
            <w:tcW w:w="4700" w:type="dxa"/>
            <w:vAlign w:val="bottom"/>
            <w:gridSpan w:val="40"/>
          </w:tcPr>
          <w:p>
            <w:pPr>
              <w:spacing w:after="0"/>
              <w:rPr>
                <w:sz w:val="20"/>
                <w:szCs w:val="20"/>
                <w:color w:val="auto"/>
              </w:rPr>
            </w:pPr>
            <w:r>
              <w:rPr>
                <w:rFonts w:ascii="Times New Roman" w:cs="Times New Roman" w:eastAsia="Times New Roman" w:hAnsi="Times New Roman"/>
                <w:sz w:val="16"/>
                <w:szCs w:val="16"/>
                <w:b w:val="1"/>
                <w:bCs w:val="1"/>
                <w:color w:val="0000FF"/>
              </w:rPr>
              <w:t>Security Ownership of Certain Beneficial Owners and Management</w:t>
            </w:r>
          </w:p>
        </w:tc>
        <w:tc>
          <w:tcPr>
            <w:tcW w:w="180" w:type="dxa"/>
            <w:vAlign w:val="bottom"/>
            <w:gridSpan w:val="2"/>
          </w:tcPr>
          <w:p>
            <w:pPr>
              <w:spacing w:after="0"/>
              <w:rPr>
                <w:sz w:val="17"/>
                <w:szCs w:val="17"/>
                <w:color w:val="auto"/>
              </w:rPr>
            </w:pP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5</w:t>
            </w:r>
          </w:p>
        </w:tc>
        <w:tc>
          <w:tcPr>
            <w:tcW w:w="80" w:type="dxa"/>
            <w:vAlign w:val="bottom"/>
          </w:tcPr>
          <w:p>
            <w:pPr>
              <w:spacing w:after="0"/>
              <w:rPr>
                <w:sz w:val="17"/>
                <w:szCs w:val="17"/>
                <w:color w:val="auto"/>
              </w:rPr>
            </w:pPr>
          </w:p>
        </w:tc>
        <w:tc>
          <w:tcPr>
            <w:tcW w:w="492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Compensation Philosophy</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0"/>
        </w:trPr>
        <w:tc>
          <w:tcPr>
            <w:tcW w:w="640" w:type="dxa"/>
            <w:vAlign w:val="bottom"/>
            <w:tcBorders>
              <w:right w:val="single" w:sz="8" w:color="0000FF"/>
            </w:tcBorders>
            <w:gridSpan w:val="5"/>
          </w:tcPr>
          <w:p>
            <w:pPr>
              <w:spacing w:after="0" w:line="20" w:lineRule="exact"/>
              <w:rPr>
                <w:sz w:val="1"/>
                <w:szCs w:val="1"/>
                <w:color w:val="auto"/>
              </w:rPr>
            </w:pPr>
          </w:p>
        </w:tc>
        <w:tc>
          <w:tcPr>
            <w:tcW w:w="780" w:type="dxa"/>
            <w:vAlign w:val="bottom"/>
            <w:gridSpan w:val="7"/>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48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160" w:type="dxa"/>
            <w:vAlign w:val="bottom"/>
            <w:tcBorders>
              <w:left w:val="single" w:sz="8" w:color="0000FF"/>
              <w:right w:val="single" w:sz="8" w:color="0000FF"/>
            </w:tcBorders>
            <w:gridSpan w:val="16"/>
            <w:shd w:val="clear" w:color="auto" w:fill="0000FF"/>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760" w:type="dxa"/>
            <w:vAlign w:val="bottom"/>
            <w:tcBorders>
              <w:left w:val="single" w:sz="8" w:color="0000FF"/>
            </w:tcBorders>
            <w:gridSpan w:val="3"/>
            <w:shd w:val="clear" w:color="auto" w:fill="0000FF"/>
          </w:tcPr>
          <w:p>
            <w:pPr>
              <w:spacing w:after="0" w:line="20" w:lineRule="exact"/>
              <w:rPr>
                <w:sz w:val="1"/>
                <w:szCs w:val="1"/>
                <w:color w:val="auto"/>
              </w:rPr>
            </w:pPr>
          </w:p>
        </w:tc>
        <w:tc>
          <w:tcPr>
            <w:tcW w:w="3540" w:type="dxa"/>
            <w:vAlign w:val="bottom"/>
            <w:tcBorders>
              <w:left w:val="single" w:sz="8" w:color="0000FF"/>
            </w:tcBorders>
            <w:gridSpan w:val="25"/>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gridSpan w:val="40"/>
          </w:tcPr>
          <w:p>
            <w:pPr>
              <w:spacing w:after="0"/>
              <w:rPr>
                <w:sz w:val="20"/>
                <w:szCs w:val="20"/>
                <w:color w:val="auto"/>
              </w:rPr>
            </w:pPr>
            <w:r>
              <w:rPr>
                <w:rFonts w:ascii="Times New Roman" w:cs="Times New Roman" w:eastAsia="Times New Roman" w:hAnsi="Times New Roman"/>
                <w:sz w:val="16"/>
                <w:szCs w:val="16"/>
                <w:b w:val="1"/>
                <w:bCs w:val="1"/>
                <w:color w:val="0000FF"/>
              </w:rPr>
              <w:t>Our Board of Directors</w:t>
            </w:r>
          </w:p>
        </w:tc>
        <w:tc>
          <w:tcPr>
            <w:tcW w:w="180" w:type="dxa"/>
            <w:vAlign w:val="bottom"/>
            <w:gridSpan w:val="2"/>
          </w:tcPr>
          <w:p>
            <w:pPr>
              <w:spacing w:after="0"/>
              <w:rPr>
                <w:sz w:val="17"/>
                <w:szCs w:val="17"/>
                <w:color w:val="auto"/>
              </w:rPr>
            </w:pP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7</w:t>
            </w:r>
          </w:p>
        </w:tc>
        <w:tc>
          <w:tcPr>
            <w:tcW w:w="80" w:type="dxa"/>
            <w:vAlign w:val="bottom"/>
          </w:tcPr>
          <w:p>
            <w:pPr>
              <w:spacing w:after="0"/>
              <w:rPr>
                <w:sz w:val="17"/>
                <w:szCs w:val="17"/>
                <w:color w:val="auto"/>
              </w:rPr>
            </w:pPr>
          </w:p>
        </w:tc>
        <w:tc>
          <w:tcPr>
            <w:tcW w:w="492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Overall Compensation Determination Process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196"/>
        </w:trPr>
        <w:tc>
          <w:tcPr>
            <w:tcW w:w="2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50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General</w:t>
            </w:r>
          </w:p>
        </w:tc>
        <w:tc>
          <w:tcPr>
            <w:tcW w:w="3260" w:type="dxa"/>
            <w:vAlign w:val="bottom"/>
            <w:gridSpan w:val="28"/>
          </w:tcPr>
          <w:p>
            <w:pPr>
              <w:spacing w:after="0"/>
              <w:rPr>
                <w:sz w:val="17"/>
                <w:szCs w:val="17"/>
                <w:color w:val="auto"/>
              </w:rPr>
            </w:pP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7"/>
                <w:szCs w:val="17"/>
                <w:color w:val="auto"/>
              </w:rPr>
            </w:pPr>
          </w:p>
        </w:tc>
        <w:tc>
          <w:tcPr>
            <w:tcW w:w="298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rPr>
              <w:t>Compensation Consultant</w:t>
            </w:r>
          </w:p>
        </w:tc>
        <w:tc>
          <w:tcPr>
            <w:tcW w:w="1940" w:type="dxa"/>
            <w:vAlign w:val="bottom"/>
            <w:gridSpan w:val="11"/>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0"/>
        </w:trPr>
        <w:tc>
          <w:tcPr>
            <w:tcW w:w="640" w:type="dxa"/>
            <w:vAlign w:val="bottom"/>
            <w:tcBorders>
              <w:right w:val="single" w:sz="8" w:color="0000FF"/>
            </w:tcBorders>
            <w:gridSpan w:val="5"/>
          </w:tcPr>
          <w:p>
            <w:pPr>
              <w:spacing w:after="0" w:line="20" w:lineRule="exact"/>
              <w:rPr>
                <w:sz w:val="1"/>
                <w:szCs w:val="1"/>
                <w:color w:val="auto"/>
              </w:rPr>
            </w:pPr>
          </w:p>
        </w:tc>
        <w:tc>
          <w:tcPr>
            <w:tcW w:w="6300" w:type="dxa"/>
            <w:vAlign w:val="bottom"/>
            <w:gridSpan w:val="41"/>
          </w:tcPr>
          <w:p>
            <w:pPr>
              <w:spacing w:after="0" w:line="20" w:lineRule="exact"/>
              <w:rPr>
                <w:sz w:val="1"/>
                <w:szCs w:val="1"/>
                <w:color w:val="auto"/>
              </w:rPr>
            </w:pPr>
          </w:p>
        </w:tc>
        <w:tc>
          <w:tcPr>
            <w:tcW w:w="4300" w:type="dxa"/>
            <w:vAlign w:val="bottom"/>
            <w:tcBorders>
              <w:left w:val="single" w:sz="8" w:color="0000FF"/>
            </w:tcBorders>
            <w:gridSpan w:val="28"/>
            <w:shd w:val="clear" w:color="auto" w:fill="0000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7"/>
                <w:szCs w:val="17"/>
                <w:color w:val="auto"/>
              </w:rPr>
            </w:pPr>
          </w:p>
        </w:tc>
        <w:tc>
          <w:tcPr>
            <w:tcW w:w="492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Competitive Assessment of Compensation—Peer Group and Market Data</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760" w:type="dxa"/>
            <w:vAlign w:val="bottom"/>
            <w:gridSpan w:val="40"/>
          </w:tcPr>
          <w:p>
            <w:pPr>
              <w:spacing w:after="0"/>
              <w:rPr>
                <w:sz w:val="20"/>
                <w:szCs w:val="20"/>
                <w:color w:val="auto"/>
              </w:rPr>
            </w:pPr>
            <w:r>
              <w:rPr>
                <w:rFonts w:ascii="Times New Roman" w:cs="Times New Roman" w:eastAsia="Times New Roman" w:hAnsi="Times New Roman"/>
                <w:sz w:val="16"/>
                <w:szCs w:val="16"/>
                <w:color w:val="0000FF"/>
              </w:rPr>
              <w:t>Director Biographies of Class I Directors Nominated for Reelection at</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460" w:type="dxa"/>
            <w:vAlign w:val="bottom"/>
            <w:tcBorders>
              <w:top w:val="single" w:sz="8" w:color="0000FF"/>
            </w:tcBorders>
            <w:gridSpan w:val="37"/>
          </w:tcPr>
          <w:p>
            <w:pPr>
              <w:spacing w:after="0" w:line="142" w:lineRule="exact"/>
              <w:rPr>
                <w:sz w:val="20"/>
                <w:szCs w:val="20"/>
                <w:color w:val="auto"/>
              </w:rPr>
            </w:pPr>
            <w:r>
              <w:rPr>
                <w:rFonts w:ascii="Times New Roman" w:cs="Times New Roman" w:eastAsia="Times New Roman" w:hAnsi="Times New Roman"/>
                <w:sz w:val="16"/>
                <w:szCs w:val="16"/>
                <w:color w:val="0000FF"/>
              </w:rPr>
              <w:t>the 2024 Annual Meeting of Stockholders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7"/>
                <w:szCs w:val="17"/>
                <w:color w:val="auto"/>
              </w:rPr>
            </w:pPr>
          </w:p>
        </w:tc>
        <w:tc>
          <w:tcPr>
            <w:tcW w:w="492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Components of Executive Compensation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760" w:type="dxa"/>
            <w:vAlign w:val="bottom"/>
            <w:gridSpan w:val="40"/>
          </w:tcPr>
          <w:p>
            <w:pPr>
              <w:spacing w:after="0"/>
              <w:rPr>
                <w:sz w:val="20"/>
                <w:szCs w:val="20"/>
                <w:color w:val="auto"/>
              </w:rPr>
            </w:pPr>
            <w:r>
              <w:rPr>
                <w:rFonts w:ascii="Times New Roman" w:cs="Times New Roman" w:eastAsia="Times New Roman" w:hAnsi="Times New Roman"/>
                <w:sz w:val="16"/>
                <w:szCs w:val="16"/>
                <w:color w:val="0000FF"/>
              </w:rPr>
              <w:t>Director Biographies of Class II and Class III Directors not Nominated</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860" w:type="dxa"/>
            <w:vAlign w:val="bottom"/>
            <w:tcBorders>
              <w:top w:val="single" w:sz="8" w:color="0000FF"/>
              <w:bottom w:val="single" w:sz="8" w:color="0000FF"/>
            </w:tcBorders>
            <w:gridSpan w:val="31"/>
          </w:tcPr>
          <w:p>
            <w:pPr>
              <w:spacing w:after="0" w:line="142" w:lineRule="exact"/>
              <w:rPr>
                <w:sz w:val="20"/>
                <w:szCs w:val="20"/>
                <w:color w:val="auto"/>
              </w:rPr>
            </w:pPr>
            <w:r>
              <w:rPr>
                <w:rFonts w:ascii="Times New Roman" w:cs="Times New Roman" w:eastAsia="Times New Roman" w:hAnsi="Times New Roman"/>
                <w:sz w:val="16"/>
                <w:szCs w:val="16"/>
                <w:color w:val="0000FF"/>
              </w:rPr>
              <w:t>for Reelection at the 2024 Annual Meeting of Stockholders</w:t>
            </w:r>
          </w:p>
        </w:tc>
        <w:tc>
          <w:tcPr>
            <w:tcW w:w="620" w:type="dxa"/>
            <w:vAlign w:val="bottom"/>
            <w:tcBorders>
              <w:top w:val="single" w:sz="8" w:color="0000FF"/>
            </w:tcBorders>
            <w:gridSpan w:val="7"/>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160" w:type="dxa"/>
            <w:vAlign w:val="bottom"/>
            <w:gridSpan w:val="36"/>
          </w:tcPr>
          <w:p>
            <w:pPr>
              <w:spacing w:after="0"/>
              <w:rPr>
                <w:sz w:val="20"/>
                <w:szCs w:val="20"/>
                <w:color w:val="auto"/>
              </w:rPr>
            </w:pPr>
            <w:r>
              <w:rPr>
                <w:rFonts w:ascii="Times New Roman" w:cs="Times New Roman" w:eastAsia="Times New Roman" w:hAnsi="Times New Roman"/>
                <w:sz w:val="16"/>
                <w:szCs w:val="16"/>
                <w:b w:val="1"/>
                <w:bCs w:val="1"/>
                <w:color w:val="0000FF"/>
              </w:rPr>
              <w:t>The Board of Directors and Corporate Governance Matters</w:t>
            </w:r>
          </w:p>
        </w:tc>
        <w:tc>
          <w:tcPr>
            <w:tcW w:w="720" w:type="dxa"/>
            <w:vAlign w:val="bottom"/>
            <w:gridSpan w:val="6"/>
          </w:tcPr>
          <w:p>
            <w:pPr>
              <w:spacing w:after="0"/>
              <w:rPr>
                <w:sz w:val="17"/>
                <w:szCs w:val="17"/>
                <w:color w:val="auto"/>
              </w:rPr>
            </w:pP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10</w:t>
            </w:r>
          </w:p>
        </w:tc>
        <w:tc>
          <w:tcPr>
            <w:tcW w:w="80" w:type="dxa"/>
            <w:vAlign w:val="bottom"/>
          </w:tcPr>
          <w:p>
            <w:pPr>
              <w:spacing w:after="0"/>
              <w:rPr>
                <w:sz w:val="17"/>
                <w:szCs w:val="17"/>
                <w:color w:val="auto"/>
              </w:rPr>
            </w:pPr>
          </w:p>
        </w:tc>
        <w:tc>
          <w:tcPr>
            <w:tcW w:w="492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2023 Named Executive Officer Compensation Decisions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196"/>
        </w:trPr>
        <w:tc>
          <w:tcPr>
            <w:tcW w:w="2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8"/>
              </w:rPr>
              <w:t>General</w:t>
            </w:r>
          </w:p>
        </w:tc>
        <w:tc>
          <w:tcPr>
            <w:tcW w:w="3540" w:type="dxa"/>
            <w:vAlign w:val="bottom"/>
            <w:tcBorders>
              <w:top w:val="single" w:sz="8" w:color="0000FF"/>
            </w:tcBorders>
            <w:gridSpan w:val="32"/>
          </w:tcPr>
          <w:p>
            <w:pPr>
              <w:spacing w:after="0"/>
              <w:rPr>
                <w:sz w:val="17"/>
                <w:szCs w:val="17"/>
                <w:color w:val="auto"/>
              </w:rPr>
            </w:pPr>
          </w:p>
        </w:tc>
        <w:tc>
          <w:tcPr>
            <w:tcW w:w="720" w:type="dxa"/>
            <w:vAlign w:val="bottom"/>
            <w:gridSpan w:val="6"/>
          </w:tcPr>
          <w:p>
            <w:pPr>
              <w:spacing w:after="0"/>
              <w:rPr>
                <w:sz w:val="17"/>
                <w:szCs w:val="17"/>
                <w:color w:val="auto"/>
              </w:rPr>
            </w:pP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7"/>
                <w:szCs w:val="17"/>
                <w:color w:val="auto"/>
              </w:rPr>
            </w:pPr>
          </w:p>
        </w:tc>
        <w:tc>
          <w:tcPr>
            <w:tcW w:w="244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Officer Equity Ownership Guidelines</w:t>
            </w:r>
          </w:p>
        </w:tc>
        <w:tc>
          <w:tcPr>
            <w:tcW w:w="1240" w:type="dxa"/>
            <w:vAlign w:val="bottom"/>
            <w:tcBorders>
              <w:top w:val="single" w:sz="8" w:color="0000FF"/>
            </w:tcBorders>
            <w:gridSpan w:val="14"/>
          </w:tcPr>
          <w:p>
            <w:pPr>
              <w:spacing w:after="0"/>
              <w:rPr>
                <w:sz w:val="17"/>
                <w:szCs w:val="17"/>
                <w:color w:val="auto"/>
              </w:rPr>
            </w:pPr>
          </w:p>
        </w:tc>
        <w:tc>
          <w:tcPr>
            <w:tcW w:w="1240" w:type="dxa"/>
            <w:vAlign w:val="bottom"/>
            <w:gridSpan w:val="3"/>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Corporate Governance Best Practices</w:t>
            </w:r>
          </w:p>
        </w:tc>
        <w:tc>
          <w:tcPr>
            <w:tcW w:w="2360" w:type="dxa"/>
            <w:vAlign w:val="bottom"/>
            <w:gridSpan w:val="19"/>
          </w:tcPr>
          <w:p>
            <w:pPr>
              <w:spacing w:after="0"/>
              <w:rPr>
                <w:sz w:val="17"/>
                <w:szCs w:val="17"/>
                <w:color w:val="auto"/>
              </w:rPr>
            </w:pP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7"/>
                <w:szCs w:val="17"/>
                <w:color w:val="auto"/>
              </w:rPr>
            </w:pPr>
          </w:p>
        </w:tc>
        <w:tc>
          <w:tcPr>
            <w:tcW w:w="492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Equity Trading Policies and Procedures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6"/>
                <w:szCs w:val="16"/>
                <w:color w:val="0000FF"/>
              </w:rPr>
              <w:t>Board of Directors Overview</w:t>
            </w:r>
          </w:p>
        </w:tc>
        <w:tc>
          <w:tcPr>
            <w:tcW w:w="2360" w:type="dxa"/>
            <w:vAlign w:val="bottom"/>
            <w:gridSpan w:val="19"/>
          </w:tcPr>
          <w:p>
            <w:pPr>
              <w:spacing w:after="0"/>
              <w:rPr>
                <w:sz w:val="17"/>
                <w:szCs w:val="17"/>
                <w:color w:val="auto"/>
              </w:rPr>
            </w:pP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7"/>
                <w:szCs w:val="17"/>
                <w:color w:val="auto"/>
              </w:rPr>
            </w:pPr>
          </w:p>
        </w:tc>
        <w:tc>
          <w:tcPr>
            <w:tcW w:w="25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rPr>
              <w:t>Compensation Recoupment Policy</w:t>
            </w:r>
          </w:p>
        </w:tc>
        <w:tc>
          <w:tcPr>
            <w:tcW w:w="2360" w:type="dxa"/>
            <w:vAlign w:val="bottom"/>
            <w:gridSpan w:val="15"/>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
        </w:trPr>
        <w:tc>
          <w:tcPr>
            <w:tcW w:w="1420" w:type="dxa"/>
            <w:vAlign w:val="bottom"/>
            <w:gridSpan w:val="12"/>
          </w:tcPr>
          <w:p>
            <w:pPr>
              <w:spacing w:after="0" w:line="20" w:lineRule="exact"/>
              <w:rPr>
                <w:sz w:val="1"/>
                <w:szCs w:val="1"/>
                <w:color w:val="auto"/>
              </w:rPr>
            </w:pPr>
          </w:p>
        </w:tc>
        <w:tc>
          <w:tcPr>
            <w:tcW w:w="5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4940" w:type="dxa"/>
            <w:vAlign w:val="bottom"/>
            <w:gridSpan w:val="27"/>
          </w:tcPr>
          <w:p>
            <w:pPr>
              <w:spacing w:after="0" w:line="20" w:lineRule="exact"/>
              <w:rPr>
                <w:sz w:val="1"/>
                <w:szCs w:val="1"/>
                <w:color w:val="auto"/>
              </w:rPr>
            </w:pPr>
          </w:p>
        </w:tc>
        <w:tc>
          <w:tcPr>
            <w:tcW w:w="4300" w:type="dxa"/>
            <w:vAlign w:val="bottom"/>
            <w:tcBorders>
              <w:left w:val="single" w:sz="8" w:color="0000FF"/>
            </w:tcBorders>
            <w:gridSpan w:val="28"/>
            <w:shd w:val="clear" w:color="auto" w:fill="0000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Board Leadership Structure</w:t>
            </w:r>
          </w:p>
        </w:tc>
        <w:tc>
          <w:tcPr>
            <w:tcW w:w="100" w:type="dxa"/>
            <w:vAlign w:val="bottom"/>
          </w:tcPr>
          <w:p>
            <w:pPr>
              <w:spacing w:after="0"/>
              <w:rPr>
                <w:sz w:val="17"/>
                <w:szCs w:val="17"/>
                <w:color w:val="auto"/>
              </w:rPr>
            </w:pPr>
          </w:p>
        </w:tc>
        <w:tc>
          <w:tcPr>
            <w:tcW w:w="2900" w:type="dxa"/>
            <w:vAlign w:val="bottom"/>
            <w:gridSpan w:val="24"/>
          </w:tcPr>
          <w:p>
            <w:pPr>
              <w:spacing w:after="0"/>
              <w:rPr>
                <w:sz w:val="17"/>
                <w:szCs w:val="17"/>
                <w:color w:val="auto"/>
              </w:rPr>
            </w:pP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7"/>
                <w:szCs w:val="17"/>
                <w:color w:val="auto"/>
              </w:rPr>
            </w:pPr>
          </w:p>
        </w:tc>
        <w:tc>
          <w:tcPr>
            <w:tcW w:w="492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Tax and Accounting Considerations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Board Independence</w:t>
            </w:r>
          </w:p>
        </w:tc>
        <w:tc>
          <w:tcPr>
            <w:tcW w:w="3000" w:type="dxa"/>
            <w:vAlign w:val="bottom"/>
            <w:gridSpan w:val="25"/>
          </w:tcPr>
          <w:p>
            <w:pPr>
              <w:spacing w:after="0"/>
              <w:rPr>
                <w:sz w:val="17"/>
                <w:szCs w:val="17"/>
                <w:color w:val="auto"/>
              </w:rPr>
            </w:pP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7"/>
                <w:szCs w:val="17"/>
                <w:color w:val="auto"/>
              </w:rPr>
            </w:pPr>
          </w:p>
        </w:tc>
        <w:tc>
          <w:tcPr>
            <w:tcW w:w="492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Risk Analysis of Our Compensation Program</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41"/>
          </w:tcPr>
          <w:p>
            <w:pPr>
              <w:spacing w:after="0"/>
              <w:rPr>
                <w:sz w:val="20"/>
                <w:szCs w:val="20"/>
                <w:color w:val="auto"/>
              </w:rPr>
            </w:pPr>
            <w:r>
              <w:rPr>
                <w:rFonts w:ascii="Times New Roman" w:cs="Times New Roman" w:eastAsia="Times New Roman" w:hAnsi="Times New Roman"/>
                <w:sz w:val="16"/>
                <w:szCs w:val="16"/>
                <w:color w:val="0000FF"/>
              </w:rPr>
              <w:t>Classified Board Structure</w:t>
            </w: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12</w:t>
            </w:r>
          </w:p>
        </w:tc>
        <w:tc>
          <w:tcPr>
            <w:tcW w:w="5000" w:type="dxa"/>
            <w:vAlign w:val="bottom"/>
            <w:gridSpan w:val="29"/>
          </w:tcPr>
          <w:p>
            <w:pPr>
              <w:spacing w:after="0"/>
              <w:rPr>
                <w:sz w:val="20"/>
                <w:szCs w:val="20"/>
                <w:color w:val="auto"/>
              </w:rPr>
            </w:pPr>
            <w:r>
              <w:rPr>
                <w:rFonts w:ascii="Times New Roman" w:cs="Times New Roman" w:eastAsia="Times New Roman" w:hAnsi="Times New Roman"/>
                <w:sz w:val="16"/>
                <w:szCs w:val="16"/>
                <w:b w:val="1"/>
                <w:bCs w:val="1"/>
                <w:color w:val="0000FF"/>
              </w:rPr>
              <w:t>Executive Compensation and Other Information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rPr>
              <w:t>Overboarding Policy</w:t>
            </w:r>
          </w:p>
        </w:tc>
        <w:tc>
          <w:tcPr>
            <w:tcW w:w="3080" w:type="dxa"/>
            <w:vAlign w:val="bottom"/>
            <w:gridSpan w:val="27"/>
          </w:tcPr>
          <w:p>
            <w:pPr>
              <w:spacing w:after="0"/>
              <w:rPr>
                <w:sz w:val="17"/>
                <w:szCs w:val="17"/>
                <w:color w:val="auto"/>
              </w:rPr>
            </w:pP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Borders>
              <w:top w:val="single" w:sz="8" w:color="0000FF"/>
            </w:tcBorders>
          </w:tcPr>
          <w:p>
            <w:pPr>
              <w:spacing w:after="0"/>
              <w:rPr>
                <w:sz w:val="17"/>
                <w:szCs w:val="17"/>
                <w:color w:val="auto"/>
              </w:rPr>
            </w:pPr>
          </w:p>
        </w:tc>
        <w:tc>
          <w:tcPr>
            <w:tcW w:w="328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rPr>
              <w:t>Summary Compensation Table</w:t>
            </w:r>
          </w:p>
        </w:tc>
        <w:tc>
          <w:tcPr>
            <w:tcW w:w="1640" w:type="dxa"/>
            <w:vAlign w:val="bottom"/>
            <w:gridSpan w:val="8"/>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41"/>
          </w:tcPr>
          <w:p>
            <w:pPr>
              <w:spacing w:after="0"/>
              <w:rPr>
                <w:sz w:val="20"/>
                <w:szCs w:val="20"/>
                <w:color w:val="auto"/>
              </w:rPr>
            </w:pPr>
            <w:r>
              <w:rPr>
                <w:rFonts w:ascii="Times New Roman" w:cs="Times New Roman" w:eastAsia="Times New Roman" w:hAnsi="Times New Roman"/>
                <w:sz w:val="16"/>
                <w:szCs w:val="16"/>
                <w:color w:val="0000FF"/>
              </w:rPr>
              <w:t>Board and Committee Meetings During 2023</w:t>
            </w: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7"/>
                <w:szCs w:val="17"/>
                <w:color w:val="auto"/>
              </w:rPr>
            </w:pPr>
          </w:p>
        </w:tc>
        <w:tc>
          <w:tcPr>
            <w:tcW w:w="492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Grants of Plan-Based Awards During 2023</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4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Information About Board Committees</w:t>
            </w:r>
          </w:p>
        </w:tc>
        <w:tc>
          <w:tcPr>
            <w:tcW w:w="1860" w:type="dxa"/>
            <w:vAlign w:val="bottom"/>
            <w:gridSpan w:val="12"/>
          </w:tcPr>
          <w:p>
            <w:pPr>
              <w:spacing w:after="0"/>
              <w:rPr>
                <w:sz w:val="17"/>
                <w:szCs w:val="17"/>
                <w:color w:val="auto"/>
              </w:rPr>
            </w:pP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7"/>
                <w:szCs w:val="17"/>
                <w:color w:val="auto"/>
              </w:rPr>
            </w:pPr>
          </w:p>
        </w:tc>
        <w:tc>
          <w:tcPr>
            <w:tcW w:w="492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Agreements with Named Executive Officers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41"/>
          </w:tcPr>
          <w:p>
            <w:pPr>
              <w:spacing w:after="0"/>
              <w:rPr>
                <w:sz w:val="20"/>
                <w:szCs w:val="20"/>
                <w:color w:val="auto"/>
              </w:rPr>
            </w:pPr>
            <w:r>
              <w:rPr>
                <w:rFonts w:ascii="Times New Roman" w:cs="Times New Roman" w:eastAsia="Times New Roman" w:hAnsi="Times New Roman"/>
                <w:sz w:val="16"/>
                <w:szCs w:val="16"/>
                <w:color w:val="0000FF"/>
              </w:rPr>
              <w:t>Compensation Committee Interlocks and Insider Participation</w:t>
            </w: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7"/>
                <w:szCs w:val="17"/>
                <w:color w:val="auto"/>
              </w:rPr>
            </w:pPr>
          </w:p>
        </w:tc>
        <w:tc>
          <w:tcPr>
            <w:tcW w:w="492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Outstanding Equity Awards at Fiscal Year-End</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20" w:type="dxa"/>
            <w:vAlign w:val="bottom"/>
            <w:tcBorders>
              <w:top w:val="single" w:sz="8" w:color="0000FF"/>
            </w:tcBorders>
            <w:gridSpan w:val="33"/>
          </w:tcPr>
          <w:p>
            <w:pPr>
              <w:spacing w:after="0"/>
              <w:rPr>
                <w:sz w:val="20"/>
                <w:szCs w:val="20"/>
                <w:color w:val="auto"/>
              </w:rPr>
            </w:pPr>
            <w:r>
              <w:rPr>
                <w:rFonts w:ascii="Times New Roman" w:cs="Times New Roman" w:eastAsia="Times New Roman" w:hAnsi="Times New Roman"/>
                <w:sz w:val="16"/>
                <w:szCs w:val="16"/>
                <w:color w:val="0000FF"/>
              </w:rPr>
              <w:t>Director Nomination Process</w:t>
            </w:r>
          </w:p>
        </w:tc>
        <w:tc>
          <w:tcPr>
            <w:tcW w:w="780" w:type="dxa"/>
            <w:vAlign w:val="bottom"/>
            <w:gridSpan w:val="8"/>
          </w:tcPr>
          <w:p>
            <w:pPr>
              <w:spacing w:after="0"/>
              <w:rPr>
                <w:sz w:val="17"/>
                <w:szCs w:val="17"/>
                <w:color w:val="auto"/>
              </w:rPr>
            </w:pP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2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Option Exercises and Stock Vested During the Year</w:t>
            </w:r>
          </w:p>
        </w:tc>
        <w:tc>
          <w:tcPr>
            <w:tcW w:w="3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41"/>
          </w:tcPr>
          <w:p>
            <w:pPr>
              <w:spacing w:after="0"/>
              <w:rPr>
                <w:sz w:val="20"/>
                <w:szCs w:val="20"/>
                <w:color w:val="auto"/>
              </w:rPr>
            </w:pPr>
            <w:r>
              <w:rPr>
                <w:rFonts w:ascii="Times New Roman" w:cs="Times New Roman" w:eastAsia="Times New Roman" w:hAnsi="Times New Roman"/>
                <w:sz w:val="16"/>
                <w:szCs w:val="16"/>
                <w:color w:val="0000FF"/>
              </w:rPr>
              <w:t>Board Diversity Matrix</w:t>
            </w: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2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Potential Payments upon Termination or Change-in-Control</w:t>
            </w:r>
          </w:p>
        </w:tc>
        <w:tc>
          <w:tcPr>
            <w:tcW w:w="3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41"/>
          </w:tcPr>
          <w:p>
            <w:pPr>
              <w:spacing w:after="0"/>
              <w:rPr>
                <w:sz w:val="20"/>
                <w:szCs w:val="20"/>
                <w:color w:val="auto"/>
              </w:rPr>
            </w:pPr>
            <w:r>
              <w:rPr>
                <w:rFonts w:ascii="Times New Roman" w:cs="Times New Roman" w:eastAsia="Times New Roman" w:hAnsi="Times New Roman"/>
                <w:sz w:val="16"/>
                <w:szCs w:val="16"/>
                <w:color w:val="0000FF"/>
              </w:rPr>
              <w:t>Board Self Assessment</w:t>
            </w: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15</w:t>
            </w:r>
          </w:p>
        </w:tc>
        <w:tc>
          <w:tcPr>
            <w:tcW w:w="5000" w:type="dxa"/>
            <w:vAlign w:val="bottom"/>
            <w:gridSpan w:val="29"/>
          </w:tcPr>
          <w:p>
            <w:pPr>
              <w:spacing w:after="0"/>
              <w:rPr>
                <w:sz w:val="20"/>
                <w:szCs w:val="20"/>
                <w:color w:val="auto"/>
              </w:rPr>
            </w:pPr>
            <w:r>
              <w:rPr>
                <w:rFonts w:ascii="Times New Roman" w:cs="Times New Roman" w:eastAsia="Times New Roman" w:hAnsi="Times New Roman"/>
                <w:sz w:val="16"/>
                <w:szCs w:val="16"/>
                <w:b w:val="1"/>
                <w:bCs w:val="1"/>
                <w:color w:val="0000FF"/>
              </w:rPr>
              <w:t>CEO Pay Ratio</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Board Education</w:t>
            </w:r>
          </w:p>
        </w:tc>
        <w:tc>
          <w:tcPr>
            <w:tcW w:w="300" w:type="dxa"/>
            <w:vAlign w:val="bottom"/>
            <w:gridSpan w:val="2"/>
          </w:tcPr>
          <w:p>
            <w:pPr>
              <w:spacing w:after="0"/>
              <w:rPr>
                <w:sz w:val="17"/>
                <w:szCs w:val="17"/>
                <w:color w:val="auto"/>
              </w:rPr>
            </w:pPr>
          </w:p>
        </w:tc>
        <w:tc>
          <w:tcPr>
            <w:tcW w:w="3300" w:type="dxa"/>
            <w:vAlign w:val="bottom"/>
            <w:gridSpan w:val="30"/>
          </w:tcPr>
          <w:p>
            <w:pPr>
              <w:spacing w:after="0"/>
              <w:rPr>
                <w:sz w:val="17"/>
                <w:szCs w:val="17"/>
                <w:color w:val="auto"/>
              </w:rPr>
            </w:pP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15</w:t>
            </w:r>
          </w:p>
        </w:tc>
        <w:tc>
          <w:tcPr>
            <w:tcW w:w="25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b w:val="1"/>
                <w:bCs w:val="1"/>
                <w:color w:val="0000FF"/>
                <w:w w:val="99"/>
              </w:rPr>
              <w:t>Item 402(v) Pay Versus Performance</w:t>
            </w:r>
          </w:p>
        </w:tc>
        <w:tc>
          <w:tcPr>
            <w:tcW w:w="2460" w:type="dxa"/>
            <w:vAlign w:val="bottom"/>
            <w:gridSpan w:val="16"/>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65</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8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Identification and Evaluation of Nominees for Director</w:t>
            </w:r>
          </w:p>
        </w:tc>
        <w:tc>
          <w:tcPr>
            <w:tcW w:w="1220" w:type="dxa"/>
            <w:vAlign w:val="bottom"/>
            <w:gridSpan w:val="11"/>
          </w:tcPr>
          <w:p>
            <w:pPr>
              <w:spacing w:after="0"/>
              <w:rPr>
                <w:sz w:val="17"/>
                <w:szCs w:val="17"/>
                <w:color w:val="auto"/>
              </w:rPr>
            </w:pP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15</w:t>
            </w:r>
          </w:p>
        </w:tc>
        <w:tc>
          <w:tcPr>
            <w:tcW w:w="5000" w:type="dxa"/>
            <w:vAlign w:val="bottom"/>
            <w:gridSpan w:val="29"/>
          </w:tcPr>
          <w:p>
            <w:pPr>
              <w:spacing w:after="0"/>
              <w:rPr>
                <w:sz w:val="20"/>
                <w:szCs w:val="20"/>
                <w:color w:val="auto"/>
              </w:rPr>
            </w:pPr>
            <w:r>
              <w:rPr>
                <w:rFonts w:ascii="Times New Roman" w:cs="Times New Roman" w:eastAsia="Times New Roman" w:hAnsi="Times New Roman"/>
                <w:sz w:val="16"/>
                <w:szCs w:val="16"/>
                <w:b w:val="1"/>
                <w:bCs w:val="1"/>
                <w:color w:val="0000FF"/>
              </w:rPr>
              <w:t>Directors Compensation Summary</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Proxy Access</w:t>
            </w:r>
          </w:p>
        </w:tc>
        <w:tc>
          <w:tcPr>
            <w:tcW w:w="2680" w:type="dxa"/>
            <w:vAlign w:val="bottom"/>
            <w:gridSpan w:val="25"/>
          </w:tcPr>
          <w:p>
            <w:pPr>
              <w:spacing w:after="0"/>
              <w:rPr>
                <w:sz w:val="17"/>
                <w:szCs w:val="17"/>
                <w:color w:val="auto"/>
              </w:rPr>
            </w:pPr>
          </w:p>
        </w:tc>
        <w:tc>
          <w:tcPr>
            <w:tcW w:w="1220" w:type="dxa"/>
            <w:vAlign w:val="bottom"/>
            <w:gridSpan w:val="11"/>
          </w:tcPr>
          <w:p>
            <w:pPr>
              <w:spacing w:after="0"/>
              <w:rPr>
                <w:sz w:val="17"/>
                <w:szCs w:val="17"/>
                <w:color w:val="auto"/>
              </w:rPr>
            </w:pP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7"/>
                <w:szCs w:val="17"/>
                <w:color w:val="auto"/>
              </w:rPr>
            </w:pPr>
          </w:p>
        </w:tc>
        <w:tc>
          <w:tcPr>
            <w:tcW w:w="33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6"/>
                <w:szCs w:val="16"/>
                <w:color w:val="0000FF"/>
              </w:rPr>
              <w:t>Non-Employee Director Compensation Philosophy</w:t>
            </w:r>
          </w:p>
        </w:tc>
        <w:tc>
          <w:tcPr>
            <w:tcW w:w="1600" w:type="dxa"/>
            <w:vAlign w:val="bottom"/>
            <w:gridSpan w:val="7"/>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41"/>
          </w:tcPr>
          <w:p>
            <w:pPr>
              <w:spacing w:after="0"/>
              <w:rPr>
                <w:sz w:val="20"/>
                <w:szCs w:val="20"/>
                <w:color w:val="auto"/>
              </w:rPr>
            </w:pPr>
            <w:r>
              <w:rPr>
                <w:rFonts w:ascii="Times New Roman" w:cs="Times New Roman" w:eastAsia="Times New Roman" w:hAnsi="Times New Roman"/>
                <w:sz w:val="16"/>
                <w:szCs w:val="16"/>
                <w:color w:val="0000FF"/>
              </w:rPr>
              <w:t>Process for Stockholder Communications with the Board of Directors</w:t>
            </w: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7"/>
                <w:szCs w:val="17"/>
                <w:color w:val="auto"/>
              </w:rPr>
            </w:pPr>
          </w:p>
        </w:tc>
        <w:tc>
          <w:tcPr>
            <w:tcW w:w="492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Non-Employee Director Compensation for 2023</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tcBorders>
              <w:top w:val="single" w:sz="8" w:color="0000FF"/>
              <w:bottom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rPr>
              <w:t>The Board's Role in Risk Oversight</w:t>
            </w:r>
          </w:p>
        </w:tc>
        <w:tc>
          <w:tcPr>
            <w:tcW w:w="2200" w:type="dxa"/>
            <w:vAlign w:val="bottom"/>
            <w:tcBorders>
              <w:top w:val="single" w:sz="8" w:color="0000FF"/>
            </w:tcBorders>
            <w:gridSpan w:val="18"/>
          </w:tcPr>
          <w:p>
            <w:pPr>
              <w:spacing w:after="0"/>
              <w:rPr>
                <w:sz w:val="17"/>
                <w:szCs w:val="17"/>
                <w:color w:val="auto"/>
              </w:rPr>
            </w:pPr>
          </w:p>
        </w:tc>
        <w:tc>
          <w:tcPr>
            <w:tcW w:w="280" w:type="dxa"/>
            <w:vAlign w:val="bottom"/>
            <w:gridSpan w:val="3"/>
          </w:tcPr>
          <w:p>
            <w:pPr>
              <w:spacing w:after="0"/>
              <w:rPr>
                <w:sz w:val="17"/>
                <w:szCs w:val="17"/>
                <w:color w:val="auto"/>
              </w:rPr>
            </w:pP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7"/>
                <w:szCs w:val="17"/>
                <w:color w:val="auto"/>
              </w:rPr>
            </w:pPr>
          </w:p>
        </w:tc>
        <w:tc>
          <w:tcPr>
            <w:tcW w:w="19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w w:val="99"/>
              </w:rPr>
              <w:t>Director Compensation Table</w:t>
            </w:r>
          </w:p>
        </w:tc>
        <w:tc>
          <w:tcPr>
            <w:tcW w:w="1220" w:type="dxa"/>
            <w:vAlign w:val="bottom"/>
            <w:tcBorders>
              <w:top w:val="single" w:sz="8" w:color="0000FF"/>
            </w:tcBorders>
            <w:gridSpan w:val="12"/>
          </w:tcPr>
          <w:p>
            <w:pPr>
              <w:spacing w:after="0"/>
              <w:rPr>
                <w:sz w:val="17"/>
                <w:szCs w:val="17"/>
                <w:color w:val="auto"/>
              </w:rPr>
            </w:pPr>
          </w:p>
        </w:tc>
        <w:tc>
          <w:tcPr>
            <w:tcW w:w="1780" w:type="dxa"/>
            <w:vAlign w:val="bottom"/>
            <w:gridSpan w:val="9"/>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4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Corporate Responsibility and Sustainability</w:t>
            </w:r>
          </w:p>
        </w:tc>
        <w:tc>
          <w:tcPr>
            <w:tcW w:w="1960" w:type="dxa"/>
            <w:vAlign w:val="bottom"/>
            <w:gridSpan w:val="14"/>
          </w:tcPr>
          <w:p>
            <w:pPr>
              <w:spacing w:after="0"/>
              <w:rPr>
                <w:sz w:val="17"/>
                <w:szCs w:val="17"/>
                <w:color w:val="auto"/>
              </w:rPr>
            </w:pP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7"/>
                <w:szCs w:val="17"/>
                <w:color w:val="auto"/>
              </w:rPr>
            </w:pPr>
          </w:p>
        </w:tc>
        <w:tc>
          <w:tcPr>
            <w:tcW w:w="492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Non-Employee Director Compensation for 2024</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860" w:type="dxa"/>
            <w:vAlign w:val="bottom"/>
            <w:gridSpan w:val="9"/>
            <w:shd w:val="clear" w:color="auto" w:fill="0000FF"/>
          </w:tcPr>
          <w:p>
            <w:pPr>
              <w:spacing w:after="0" w:line="20" w:lineRule="exact"/>
              <w:rPr>
                <w:sz w:val="1"/>
                <w:szCs w:val="1"/>
                <w:color w:val="auto"/>
              </w:rPr>
            </w:pPr>
          </w:p>
        </w:tc>
        <w:tc>
          <w:tcPr>
            <w:tcW w:w="380" w:type="dxa"/>
            <w:vAlign w:val="bottom"/>
            <w:tcBorders>
              <w:left w:val="single" w:sz="8" w:color="0000FF"/>
            </w:tcBorders>
            <w:gridSpan w:val="4"/>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40" w:type="dxa"/>
            <w:vAlign w:val="bottom"/>
            <w:tcBorders>
              <w:bottom w:val="single" w:sz="8" w:color="0000FF"/>
            </w:tcBorders>
            <w:gridSpan w:val="37"/>
          </w:tcPr>
          <w:p>
            <w:pPr>
              <w:spacing w:after="0"/>
              <w:rPr>
                <w:sz w:val="20"/>
                <w:szCs w:val="20"/>
                <w:color w:val="auto"/>
              </w:rPr>
            </w:pPr>
            <w:r>
              <w:rPr>
                <w:rFonts w:ascii="Times New Roman" w:cs="Times New Roman" w:eastAsia="Times New Roman" w:hAnsi="Times New Roman"/>
                <w:sz w:val="16"/>
                <w:szCs w:val="16"/>
                <w:color w:val="0000FF"/>
              </w:rPr>
              <w:t>Risk Assessment Concerning Compensation Practices and Policies</w:t>
            </w:r>
          </w:p>
        </w:tc>
        <w:tc>
          <w:tcPr>
            <w:tcW w:w="460" w:type="dxa"/>
            <w:vAlign w:val="bottom"/>
            <w:gridSpan w:val="4"/>
          </w:tcPr>
          <w:p>
            <w:pPr>
              <w:spacing w:after="0"/>
              <w:rPr>
                <w:sz w:val="17"/>
                <w:szCs w:val="17"/>
                <w:color w:val="auto"/>
              </w:rPr>
            </w:pP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7"/>
                <w:szCs w:val="17"/>
                <w:color w:val="auto"/>
              </w:rPr>
            </w:pPr>
          </w:p>
        </w:tc>
        <w:tc>
          <w:tcPr>
            <w:tcW w:w="35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6"/>
                <w:szCs w:val="16"/>
                <w:color w:val="0000FF"/>
              </w:rPr>
              <w:t>Non-Employee Director Equity Ownership Guidelines</w:t>
            </w:r>
          </w:p>
        </w:tc>
        <w:tc>
          <w:tcPr>
            <w:tcW w:w="1380" w:type="dxa"/>
            <w:vAlign w:val="bottom"/>
            <w:gridSpan w:val="5"/>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41"/>
          </w:tcPr>
          <w:p>
            <w:pPr>
              <w:spacing w:after="0"/>
              <w:rPr>
                <w:sz w:val="20"/>
                <w:szCs w:val="20"/>
                <w:color w:val="auto"/>
              </w:rPr>
            </w:pPr>
            <w:r>
              <w:rPr>
                <w:rFonts w:ascii="Times New Roman" w:cs="Times New Roman" w:eastAsia="Times New Roman" w:hAnsi="Times New Roman"/>
                <w:sz w:val="16"/>
                <w:szCs w:val="16"/>
                <w:color w:val="0000FF"/>
              </w:rPr>
              <w:t>Role of Board in Succession Planning</w:t>
            </w: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7"/>
                <w:szCs w:val="17"/>
                <w:color w:val="auto"/>
              </w:rPr>
            </w:pPr>
          </w:p>
        </w:tc>
        <w:tc>
          <w:tcPr>
            <w:tcW w:w="492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Additional Information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60" w:type="dxa"/>
            <w:vAlign w:val="bottom"/>
            <w:gridSpan w:val="9"/>
          </w:tcPr>
          <w:p>
            <w:pPr>
              <w:spacing w:after="0" w:line="20" w:lineRule="exact"/>
              <w:rPr>
                <w:sz w:val="1"/>
                <w:szCs w:val="1"/>
                <w:color w:val="auto"/>
              </w:rPr>
            </w:pPr>
          </w:p>
        </w:tc>
        <w:tc>
          <w:tcPr>
            <w:tcW w:w="880" w:type="dxa"/>
            <w:vAlign w:val="bottom"/>
            <w:gridSpan w:val="9"/>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41"/>
          </w:tcPr>
          <w:p>
            <w:pPr>
              <w:spacing w:after="0"/>
              <w:rPr>
                <w:sz w:val="20"/>
                <w:szCs w:val="20"/>
                <w:color w:val="auto"/>
              </w:rPr>
            </w:pPr>
            <w:r>
              <w:rPr>
                <w:rFonts w:ascii="Times New Roman" w:cs="Times New Roman" w:eastAsia="Times New Roman" w:hAnsi="Times New Roman"/>
                <w:sz w:val="16"/>
                <w:szCs w:val="16"/>
                <w:color w:val="0000FF"/>
              </w:rPr>
              <w:t>Policy Regarding Board Member Attendance at the Company's Annual</w:t>
            </w: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18</w:t>
            </w:r>
          </w:p>
        </w:tc>
        <w:tc>
          <w:tcPr>
            <w:tcW w:w="5000" w:type="dxa"/>
            <w:vAlign w:val="bottom"/>
            <w:gridSpan w:val="29"/>
          </w:tcPr>
          <w:p>
            <w:pPr>
              <w:spacing w:after="0"/>
              <w:rPr>
                <w:sz w:val="20"/>
                <w:szCs w:val="20"/>
                <w:color w:val="auto"/>
              </w:rPr>
            </w:pPr>
            <w:r>
              <w:rPr>
                <w:rFonts w:ascii="Times New Roman" w:cs="Times New Roman" w:eastAsia="Times New Roman" w:hAnsi="Times New Roman"/>
                <w:sz w:val="16"/>
                <w:szCs w:val="16"/>
                <w:b w:val="1"/>
                <w:bCs w:val="1"/>
                <w:color w:val="0000FF"/>
              </w:rPr>
              <w:t>Related Person Transactions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w:t>
            </w: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460" w:type="dxa"/>
            <w:vAlign w:val="bottom"/>
            <w:tcBorders>
              <w:top w:val="single" w:sz="8" w:color="0000FF"/>
            </w:tcBorders>
            <w:gridSpan w:val="37"/>
          </w:tcPr>
          <w:p>
            <w:pPr>
              <w:spacing w:after="0" w:line="142" w:lineRule="exact"/>
              <w:rPr>
                <w:sz w:val="20"/>
                <w:szCs w:val="20"/>
                <w:color w:val="auto"/>
              </w:rPr>
            </w:pPr>
            <w:r>
              <w:rPr>
                <w:rFonts w:ascii="Times New Roman" w:cs="Times New Roman" w:eastAsia="Times New Roman" w:hAnsi="Times New Roman"/>
                <w:sz w:val="16"/>
                <w:szCs w:val="16"/>
                <w:color w:val="0000FF"/>
              </w:rPr>
              <w:t>Meeting</w:t>
            </w:r>
          </w:p>
        </w:tc>
        <w:tc>
          <w:tcPr>
            <w:tcW w:w="180" w:type="dxa"/>
            <w:vAlign w:val="bottom"/>
            <w:gridSpan w:val="2"/>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92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60" w:type="dxa"/>
            <w:vAlign w:val="bottom"/>
            <w:gridSpan w:val="9"/>
          </w:tcPr>
          <w:p>
            <w:pPr>
              <w:spacing w:after="0" w:line="20" w:lineRule="exact"/>
              <w:rPr>
                <w:sz w:val="1"/>
                <w:szCs w:val="1"/>
                <w:color w:val="auto"/>
              </w:rPr>
            </w:pPr>
          </w:p>
        </w:tc>
        <w:tc>
          <w:tcPr>
            <w:tcW w:w="880" w:type="dxa"/>
            <w:vAlign w:val="bottom"/>
            <w:gridSpan w:val="9"/>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gridSpan w:val="42"/>
          </w:tcPr>
          <w:p>
            <w:pPr>
              <w:spacing w:after="0"/>
              <w:rPr>
                <w:sz w:val="20"/>
                <w:szCs w:val="20"/>
                <w:color w:val="auto"/>
              </w:rPr>
            </w:pPr>
            <w:r>
              <w:rPr>
                <w:rFonts w:ascii="Times New Roman" w:cs="Times New Roman" w:eastAsia="Times New Roman" w:hAnsi="Times New Roman"/>
                <w:sz w:val="16"/>
                <w:szCs w:val="16"/>
                <w:b w:val="1"/>
                <w:bCs w:val="1"/>
                <w:color w:val="0000FF"/>
              </w:rPr>
              <w:t>Report of the Audit Committee</w:t>
            </w: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19</w:t>
            </w:r>
          </w:p>
        </w:tc>
        <w:tc>
          <w:tcPr>
            <w:tcW w:w="5000" w:type="dxa"/>
            <w:vAlign w:val="bottom"/>
            <w:gridSpan w:val="29"/>
          </w:tcPr>
          <w:p>
            <w:pPr>
              <w:spacing w:after="0"/>
              <w:rPr>
                <w:sz w:val="20"/>
                <w:szCs w:val="20"/>
                <w:color w:val="auto"/>
              </w:rPr>
            </w:pPr>
            <w:r>
              <w:rPr>
                <w:rFonts w:ascii="Times New Roman" w:cs="Times New Roman" w:eastAsia="Times New Roman" w:hAnsi="Times New Roman"/>
                <w:sz w:val="16"/>
                <w:szCs w:val="16"/>
                <w:b w:val="1"/>
                <w:bCs w:val="1"/>
                <w:color w:val="0000FF"/>
              </w:rPr>
              <w:t>Other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920" w:type="dxa"/>
            <w:vAlign w:val="bottom"/>
            <w:tcBorders>
              <w:bottom w:val="single" w:sz="8" w:color="0000FF"/>
            </w:tcBorders>
            <w:gridSpan w:val="6"/>
            <w:shd w:val="clear" w:color="auto" w:fill="0000FF"/>
          </w:tcPr>
          <w:p>
            <w:pPr>
              <w:spacing w:after="0" w:line="20" w:lineRule="exact"/>
              <w:rPr>
                <w:sz w:val="1"/>
                <w:szCs w:val="1"/>
                <w:color w:val="auto"/>
              </w:rPr>
            </w:pPr>
          </w:p>
        </w:tc>
        <w:tc>
          <w:tcPr>
            <w:tcW w:w="280" w:type="dxa"/>
            <w:vAlign w:val="bottom"/>
            <w:tcBorders>
              <w:bottom w:val="single" w:sz="8" w:color="0000FF"/>
            </w:tcBorders>
            <w:gridSpan w:val="3"/>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bottom w:val="single" w:sz="8" w:color="0000FF"/>
              <w:right w:val="single" w:sz="8" w:color="0000FF"/>
            </w:tcBorders>
            <w:gridSpan w:val="7"/>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20" w:type="dxa"/>
            <w:vAlign w:val="bottom"/>
            <w:gridSpan w:val="12"/>
          </w:tcPr>
          <w:p>
            <w:pPr>
              <w:spacing w:after="0" w:line="20" w:lineRule="exact"/>
              <w:rPr>
                <w:sz w:val="1"/>
                <w:szCs w:val="1"/>
                <w:color w:val="auto"/>
              </w:rPr>
            </w:pPr>
          </w:p>
        </w:tc>
        <w:tc>
          <w:tcPr>
            <w:tcW w:w="880" w:type="dxa"/>
            <w:vAlign w:val="bottom"/>
            <w:gridSpan w:val="9"/>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0" w:type="dxa"/>
            <w:vAlign w:val="bottom"/>
            <w:gridSpan w:val="41"/>
          </w:tcPr>
          <w:p>
            <w:pPr>
              <w:spacing w:after="0" w:line="176" w:lineRule="exact"/>
              <w:rPr>
                <w:sz w:val="20"/>
                <w:szCs w:val="20"/>
                <w:color w:val="auto"/>
              </w:rPr>
            </w:pPr>
            <w:r>
              <w:rPr>
                <w:rFonts w:ascii="Times New Roman" w:cs="Times New Roman" w:eastAsia="Times New Roman" w:hAnsi="Times New Roman"/>
                <w:sz w:val="16"/>
                <w:szCs w:val="16"/>
                <w:color w:val="0000FF"/>
              </w:rPr>
              <w:t>Principal Accountant Fees and Services</w:t>
            </w:r>
          </w:p>
        </w:tc>
        <w:tc>
          <w:tcPr>
            <w:tcW w:w="1040" w:type="dxa"/>
            <w:vAlign w:val="bottom"/>
          </w:tcPr>
          <w:p>
            <w:pPr>
              <w:jc w:val="right"/>
              <w:ind w:right="639"/>
              <w:spacing w:after="0" w:line="176" w:lineRule="exact"/>
              <w:rPr>
                <w:sz w:val="20"/>
                <w:szCs w:val="20"/>
                <w:color w:val="auto"/>
              </w:rPr>
            </w:pPr>
            <w:r>
              <w:rPr>
                <w:rFonts w:ascii="Times New Roman" w:cs="Times New Roman" w:eastAsia="Times New Roman" w:hAnsi="Times New Roman"/>
                <w:sz w:val="16"/>
                <w:szCs w:val="16"/>
                <w:color w:val="auto"/>
              </w:rPr>
              <w:t>20</w:t>
            </w:r>
          </w:p>
        </w:tc>
        <w:tc>
          <w:tcPr>
            <w:tcW w:w="5000" w:type="dxa"/>
            <w:vAlign w:val="bottom"/>
            <w:gridSpan w:val="29"/>
          </w:tcPr>
          <w:p>
            <w:pPr>
              <w:spacing w:after="0" w:line="176" w:lineRule="exact"/>
              <w:rPr>
                <w:sz w:val="20"/>
                <w:szCs w:val="20"/>
                <w:color w:val="auto"/>
              </w:rPr>
            </w:pPr>
            <w:r>
              <w:rPr>
                <w:rFonts w:ascii="Times New Roman" w:cs="Times New Roman" w:eastAsia="Times New Roman" w:hAnsi="Times New Roman"/>
                <w:sz w:val="16"/>
                <w:szCs w:val="16"/>
                <w:b w:val="1"/>
                <w:bCs w:val="1"/>
                <w:color w:val="0000FF"/>
              </w:rPr>
              <w:t>Additional Information</w:t>
            </w:r>
          </w:p>
        </w:tc>
        <w:tc>
          <w:tcPr>
            <w:tcW w:w="30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71</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6"/>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1220" w:type="dxa"/>
            <w:vAlign w:val="bottom"/>
            <w:gridSpan w:val="12"/>
          </w:tcPr>
          <w:p>
            <w:pPr>
              <w:spacing w:after="0" w:line="20" w:lineRule="exact"/>
              <w:rPr>
                <w:sz w:val="1"/>
                <w:szCs w:val="1"/>
                <w:color w:val="auto"/>
              </w:rPr>
            </w:pPr>
          </w:p>
        </w:tc>
        <w:tc>
          <w:tcPr>
            <w:tcW w:w="880" w:type="dxa"/>
            <w:vAlign w:val="bottom"/>
            <w:gridSpan w:val="9"/>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3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6"/>
                <w:szCs w:val="16"/>
                <w:b w:val="1"/>
                <w:bCs w:val="1"/>
                <w:color w:val="0000FF"/>
              </w:rPr>
              <w:t>Compensation Committee Report</w:t>
            </w:r>
          </w:p>
        </w:tc>
        <w:tc>
          <w:tcPr>
            <w:tcW w:w="2540" w:type="dxa"/>
            <w:vAlign w:val="bottom"/>
            <w:gridSpan w:val="22"/>
          </w:tcPr>
          <w:p>
            <w:pPr>
              <w:spacing w:after="0"/>
              <w:rPr>
                <w:sz w:val="17"/>
                <w:szCs w:val="17"/>
                <w:color w:val="auto"/>
              </w:rPr>
            </w:pP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21</w:t>
            </w:r>
          </w:p>
        </w:tc>
        <w:tc>
          <w:tcPr>
            <w:tcW w:w="372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6"/>
                <w:szCs w:val="16"/>
                <w:b w:val="1"/>
                <w:bCs w:val="1"/>
                <w:color w:val="0000FF"/>
              </w:rPr>
              <w:t>Special Note Regarding Forward-Looking Statements</w:t>
            </w:r>
          </w:p>
        </w:tc>
        <w:tc>
          <w:tcPr>
            <w:tcW w:w="1280" w:type="dxa"/>
            <w:vAlign w:val="bottom"/>
            <w:gridSpan w:val="4"/>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w:t>
            </w:r>
          </w:p>
        </w:tc>
      </w:tr>
      <w:tr>
        <w:trPr>
          <w:trHeight w:val="196"/>
        </w:trPr>
        <w:tc>
          <w:tcPr>
            <w:tcW w:w="20" w:type="dxa"/>
            <w:vAlign w:val="bottom"/>
          </w:tcPr>
          <w:p>
            <w:pPr>
              <w:spacing w:after="0"/>
              <w:rPr>
                <w:sz w:val="17"/>
                <w:szCs w:val="17"/>
                <w:color w:val="auto"/>
              </w:rPr>
            </w:pPr>
          </w:p>
        </w:tc>
        <w:tc>
          <w:tcPr>
            <w:tcW w:w="4880" w:type="dxa"/>
            <w:vAlign w:val="bottom"/>
            <w:gridSpan w:val="42"/>
          </w:tcPr>
          <w:p>
            <w:pPr>
              <w:spacing w:after="0"/>
              <w:rPr>
                <w:sz w:val="20"/>
                <w:szCs w:val="20"/>
                <w:color w:val="auto"/>
              </w:rPr>
            </w:pPr>
            <w:r>
              <w:rPr>
                <w:rFonts w:ascii="Times New Roman" w:cs="Times New Roman" w:eastAsia="Times New Roman" w:hAnsi="Times New Roman"/>
                <w:sz w:val="16"/>
                <w:szCs w:val="16"/>
                <w:b w:val="1"/>
                <w:bCs w:val="1"/>
                <w:color w:val="0000FF"/>
              </w:rPr>
              <w:t>Proposal One: Election of Directors</w:t>
            </w: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22</w:t>
            </w:r>
          </w:p>
        </w:tc>
        <w:tc>
          <w:tcPr>
            <w:tcW w:w="5000" w:type="dxa"/>
            <w:vAlign w:val="bottom"/>
            <w:gridSpan w:val="29"/>
          </w:tcPr>
          <w:p>
            <w:pPr>
              <w:spacing w:after="0"/>
              <w:rPr>
                <w:sz w:val="20"/>
                <w:szCs w:val="20"/>
                <w:color w:val="auto"/>
              </w:rPr>
            </w:pPr>
            <w:r>
              <w:rPr>
                <w:rFonts w:ascii="Times New Roman" w:cs="Times New Roman" w:eastAsia="Times New Roman" w:hAnsi="Times New Roman"/>
                <w:sz w:val="16"/>
                <w:szCs w:val="16"/>
                <w:b w:val="1"/>
                <w:bCs w:val="1"/>
                <w:color w:val="0000FF"/>
              </w:rPr>
              <w:t>Appendix A - 2020 Equity Incentive Plan</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73</w:t>
            </w:r>
          </w:p>
        </w:tc>
      </w:tr>
      <w:tr>
        <w:trPr>
          <w:trHeight w:val="20"/>
        </w:trPr>
        <w:tc>
          <w:tcPr>
            <w:tcW w:w="20" w:type="dxa"/>
            <w:vAlign w:val="bottom"/>
          </w:tcPr>
          <w:p>
            <w:pPr>
              <w:spacing w:after="0" w:line="20" w:lineRule="exact"/>
              <w:rPr>
                <w:sz w:val="1"/>
                <w:szCs w:val="1"/>
                <w:color w:val="auto"/>
              </w:rPr>
            </w:pPr>
          </w:p>
        </w:tc>
        <w:tc>
          <w:tcPr>
            <w:tcW w:w="1000" w:type="dxa"/>
            <w:vAlign w:val="bottom"/>
            <w:gridSpan w:val="7"/>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gridSpan w:val="42"/>
          </w:tcPr>
          <w:p>
            <w:pPr>
              <w:spacing w:after="0"/>
              <w:rPr>
                <w:sz w:val="20"/>
                <w:szCs w:val="20"/>
                <w:color w:val="auto"/>
              </w:rPr>
            </w:pPr>
            <w:r>
              <w:rPr>
                <w:rFonts w:ascii="Times New Roman" w:cs="Times New Roman" w:eastAsia="Times New Roman" w:hAnsi="Times New Roman"/>
                <w:sz w:val="16"/>
                <w:szCs w:val="16"/>
                <w:b w:val="1"/>
                <w:bCs w:val="1"/>
                <w:color w:val="0000FF"/>
              </w:rPr>
              <w:t>Proposal Two: Advisory Vote on Compensation Paid to the</w:t>
            </w: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24</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42"/>
        </w:trPr>
        <w:tc>
          <w:tcPr>
            <w:tcW w:w="2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640" w:type="dxa"/>
            <w:vAlign w:val="bottom"/>
            <w:tcBorders>
              <w:top w:val="single" w:sz="8" w:color="0000FF"/>
              <w:bottom w:val="single" w:sz="8" w:color="0000FF"/>
            </w:tcBorders>
            <w:gridSpan w:val="26"/>
          </w:tcPr>
          <w:p>
            <w:pPr>
              <w:spacing w:after="0" w:line="142" w:lineRule="exact"/>
              <w:rPr>
                <w:sz w:val="20"/>
                <w:szCs w:val="20"/>
                <w:color w:val="auto"/>
              </w:rPr>
            </w:pPr>
            <w:r>
              <w:rPr>
                <w:rFonts w:ascii="Times New Roman" w:cs="Times New Roman" w:eastAsia="Times New Roman" w:hAnsi="Times New Roman"/>
                <w:sz w:val="16"/>
                <w:szCs w:val="16"/>
                <w:b w:val="1"/>
                <w:bCs w:val="1"/>
                <w:color w:val="0000FF"/>
              </w:rPr>
              <w:t>Company's Named Executive Officers</w:t>
            </w:r>
          </w:p>
        </w:tc>
        <w:tc>
          <w:tcPr>
            <w:tcW w:w="1340" w:type="dxa"/>
            <w:vAlign w:val="bottom"/>
            <w:tcBorders>
              <w:top w:val="single" w:sz="8" w:color="0000FF"/>
            </w:tcBorders>
            <w:gridSpan w:val="6"/>
          </w:tcPr>
          <w:p>
            <w:pPr>
              <w:spacing w:after="0"/>
              <w:rPr>
                <w:sz w:val="12"/>
                <w:szCs w:val="12"/>
                <w:color w:val="auto"/>
              </w:rPr>
            </w:pPr>
          </w:p>
        </w:tc>
        <w:tc>
          <w:tcPr>
            <w:tcW w:w="80" w:type="dxa"/>
            <w:vAlign w:val="bottom"/>
            <w:gridSpan w:val="2"/>
          </w:tcPr>
          <w:p>
            <w:pPr>
              <w:spacing w:after="0"/>
              <w:rPr>
                <w:sz w:val="12"/>
                <w:szCs w:val="12"/>
                <w:color w:val="auto"/>
              </w:rPr>
            </w:pPr>
          </w:p>
        </w:tc>
        <w:tc>
          <w:tcPr>
            <w:tcW w:w="260" w:type="dxa"/>
            <w:vAlign w:val="bottom"/>
            <w:gridSpan w:val="2"/>
          </w:tcPr>
          <w:p>
            <w:pPr>
              <w:spacing w:after="0"/>
              <w:rPr>
                <w:sz w:val="12"/>
                <w:szCs w:val="12"/>
                <w:color w:val="auto"/>
              </w:rPr>
            </w:pPr>
          </w:p>
        </w:tc>
        <w:tc>
          <w:tcPr>
            <w:tcW w:w="480" w:type="dxa"/>
            <w:vAlign w:val="bottom"/>
            <w:gridSpan w:val="5"/>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880" w:type="dxa"/>
            <w:vAlign w:val="bottom"/>
            <w:gridSpan w:val="42"/>
          </w:tcPr>
          <w:p>
            <w:pPr>
              <w:spacing w:after="0"/>
              <w:rPr>
                <w:sz w:val="20"/>
                <w:szCs w:val="20"/>
                <w:color w:val="auto"/>
              </w:rPr>
            </w:pPr>
            <w:r>
              <w:rPr>
                <w:rFonts w:ascii="Times New Roman" w:cs="Times New Roman" w:eastAsia="Times New Roman" w:hAnsi="Times New Roman"/>
                <w:sz w:val="16"/>
                <w:szCs w:val="16"/>
                <w:b w:val="1"/>
                <w:bCs w:val="1"/>
                <w:color w:val="0000FF"/>
              </w:rPr>
              <w:t>Proposal Three: Approval of an Amendment to the 2020 Equity</w:t>
            </w: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25</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42"/>
        </w:trPr>
        <w:tc>
          <w:tcPr>
            <w:tcW w:w="20" w:type="dxa"/>
            <w:vAlign w:val="bottom"/>
          </w:tcPr>
          <w:p>
            <w:pPr>
              <w:spacing w:after="0"/>
              <w:rPr>
                <w:sz w:val="12"/>
                <w:szCs w:val="12"/>
                <w:color w:val="auto"/>
              </w:rPr>
            </w:pPr>
          </w:p>
        </w:tc>
        <w:tc>
          <w:tcPr>
            <w:tcW w:w="4400" w:type="dxa"/>
            <w:vAlign w:val="bottom"/>
            <w:tcBorders>
              <w:top w:val="single" w:sz="8" w:color="0000FF"/>
            </w:tcBorders>
            <w:gridSpan w:val="37"/>
          </w:tcPr>
          <w:p>
            <w:pPr>
              <w:spacing w:after="0" w:line="142" w:lineRule="exact"/>
              <w:rPr>
                <w:sz w:val="20"/>
                <w:szCs w:val="20"/>
                <w:color w:val="auto"/>
              </w:rPr>
            </w:pPr>
            <w:r>
              <w:rPr>
                <w:rFonts w:ascii="Times New Roman" w:cs="Times New Roman" w:eastAsia="Times New Roman" w:hAnsi="Times New Roman"/>
                <w:sz w:val="16"/>
                <w:szCs w:val="16"/>
                <w:b w:val="1"/>
                <w:bCs w:val="1"/>
                <w:color w:val="0000FF"/>
              </w:rPr>
              <w:t>Incentive Plan</w:t>
            </w:r>
          </w:p>
        </w:tc>
        <w:tc>
          <w:tcPr>
            <w:tcW w:w="480" w:type="dxa"/>
            <w:vAlign w:val="bottom"/>
            <w:gridSpan w:val="5"/>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gridSpan w:val="7"/>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6"/>
                <w:szCs w:val="16"/>
                <w:b w:val="1"/>
                <w:bCs w:val="1"/>
                <w:color w:val="0000FF"/>
              </w:rPr>
              <w:t>Equity Compensation Plans</w:t>
            </w:r>
          </w:p>
        </w:tc>
        <w:tc>
          <w:tcPr>
            <w:tcW w:w="2900" w:type="dxa"/>
            <w:vAlign w:val="bottom"/>
            <w:gridSpan w:val="24"/>
          </w:tcPr>
          <w:p>
            <w:pPr>
              <w:spacing w:after="0"/>
              <w:rPr>
                <w:sz w:val="17"/>
                <w:szCs w:val="17"/>
                <w:color w:val="auto"/>
              </w:rPr>
            </w:pP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37</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80" w:type="dxa"/>
            <w:vAlign w:val="bottom"/>
            <w:gridSpan w:val="42"/>
          </w:tcPr>
          <w:p>
            <w:pPr>
              <w:spacing w:after="0"/>
              <w:rPr>
                <w:sz w:val="20"/>
                <w:szCs w:val="20"/>
                <w:color w:val="auto"/>
              </w:rPr>
            </w:pPr>
            <w:r>
              <w:rPr>
                <w:rFonts w:ascii="Times New Roman" w:cs="Times New Roman" w:eastAsia="Times New Roman" w:hAnsi="Times New Roman"/>
                <w:sz w:val="16"/>
                <w:szCs w:val="16"/>
                <w:b w:val="1"/>
                <w:bCs w:val="1"/>
                <w:color w:val="0000FF"/>
              </w:rPr>
              <w:t>Proposal Four: Ratification of Appointment of Independent</w:t>
            </w: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38</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42"/>
        </w:trPr>
        <w:tc>
          <w:tcPr>
            <w:tcW w:w="20" w:type="dxa"/>
            <w:vAlign w:val="bottom"/>
          </w:tcPr>
          <w:p>
            <w:pPr>
              <w:spacing w:after="0"/>
              <w:rPr>
                <w:sz w:val="12"/>
                <w:szCs w:val="12"/>
                <w:color w:val="auto"/>
              </w:rPr>
            </w:pPr>
          </w:p>
        </w:tc>
        <w:tc>
          <w:tcPr>
            <w:tcW w:w="4140" w:type="dxa"/>
            <w:vAlign w:val="bottom"/>
            <w:tcBorders>
              <w:top w:val="single" w:sz="8" w:color="0000FF"/>
            </w:tcBorders>
            <w:gridSpan w:val="35"/>
          </w:tcPr>
          <w:p>
            <w:pPr>
              <w:spacing w:after="0" w:line="142" w:lineRule="exact"/>
              <w:rPr>
                <w:sz w:val="20"/>
                <w:szCs w:val="20"/>
                <w:color w:val="auto"/>
              </w:rPr>
            </w:pPr>
            <w:r>
              <w:rPr>
                <w:rFonts w:ascii="Times New Roman" w:cs="Times New Roman" w:eastAsia="Times New Roman" w:hAnsi="Times New Roman"/>
                <w:sz w:val="16"/>
                <w:szCs w:val="16"/>
                <w:b w:val="1"/>
                <w:bCs w:val="1"/>
                <w:color w:val="0000FF"/>
              </w:rPr>
              <w:t>Registered Public Accounting Firm</w:t>
            </w:r>
          </w:p>
        </w:tc>
        <w:tc>
          <w:tcPr>
            <w:tcW w:w="740" w:type="dxa"/>
            <w:vAlign w:val="bottom"/>
            <w:gridSpan w:val="7"/>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128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b w:val="1"/>
                <w:bCs w:val="1"/>
                <w:color w:val="0000FF"/>
              </w:rPr>
              <w:t>Executive Officers</w:t>
            </w:r>
          </w:p>
        </w:tc>
        <w:tc>
          <w:tcPr>
            <w:tcW w:w="1180" w:type="dxa"/>
            <w:vAlign w:val="bottom"/>
            <w:tcBorders>
              <w:top w:val="single" w:sz="8" w:color="0000FF"/>
            </w:tcBorders>
            <w:gridSpan w:val="12"/>
          </w:tcPr>
          <w:p>
            <w:pPr>
              <w:spacing w:after="0"/>
              <w:rPr>
                <w:sz w:val="17"/>
                <w:szCs w:val="17"/>
                <w:color w:val="auto"/>
              </w:rPr>
            </w:pPr>
          </w:p>
        </w:tc>
        <w:tc>
          <w:tcPr>
            <w:tcW w:w="2420" w:type="dxa"/>
            <w:vAlign w:val="bottom"/>
            <w:gridSpan w:val="20"/>
          </w:tcPr>
          <w:p>
            <w:pPr>
              <w:spacing w:after="0"/>
              <w:rPr>
                <w:sz w:val="17"/>
                <w:szCs w:val="17"/>
                <w:color w:val="auto"/>
              </w:rPr>
            </w:pP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39</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80" w:type="dxa"/>
            <w:vAlign w:val="bottom"/>
            <w:gridSpan w:val="42"/>
          </w:tcPr>
          <w:p>
            <w:pPr>
              <w:spacing w:after="0"/>
              <w:rPr>
                <w:sz w:val="20"/>
                <w:szCs w:val="20"/>
                <w:color w:val="auto"/>
              </w:rPr>
            </w:pPr>
            <w:r>
              <w:rPr>
                <w:rFonts w:ascii="Times New Roman" w:cs="Times New Roman" w:eastAsia="Times New Roman" w:hAnsi="Times New Roman"/>
                <w:sz w:val="16"/>
                <w:szCs w:val="16"/>
                <w:b w:val="1"/>
                <w:bCs w:val="1"/>
                <w:color w:val="0000FF"/>
              </w:rPr>
              <w:t>Compensation Discussion and Analysis</w:t>
            </w: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41</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62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6"/>
                <w:szCs w:val="16"/>
                <w:color w:val="0000FF"/>
              </w:rPr>
              <w:t>Executive Summary</w:t>
            </w:r>
          </w:p>
        </w:tc>
        <w:tc>
          <w:tcPr>
            <w:tcW w:w="2180" w:type="dxa"/>
            <w:vAlign w:val="bottom"/>
            <w:gridSpan w:val="16"/>
          </w:tcPr>
          <w:p>
            <w:pPr>
              <w:spacing w:after="0"/>
              <w:rPr>
                <w:sz w:val="17"/>
                <w:szCs w:val="17"/>
                <w:color w:val="auto"/>
              </w:rPr>
            </w:pP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10"/>
            <w:shd w:val="clear" w:color="auto" w:fill="0000FF"/>
          </w:tcPr>
          <w:p>
            <w:pPr>
              <w:spacing w:after="0" w:line="20" w:lineRule="exact"/>
              <w:rPr>
                <w:sz w:val="1"/>
                <w:szCs w:val="1"/>
                <w:color w:val="auto"/>
              </w:rPr>
            </w:pPr>
          </w:p>
        </w:tc>
        <w:tc>
          <w:tcPr>
            <w:tcW w:w="940" w:type="dxa"/>
            <w:vAlign w:val="bottom"/>
            <w:gridSpan w:val="9"/>
          </w:tcPr>
          <w:p>
            <w:pPr>
              <w:spacing w:after="0" w:line="20" w:lineRule="exact"/>
              <w:rPr>
                <w:sz w:val="1"/>
                <w:szCs w:val="1"/>
                <w:color w:val="auto"/>
              </w:rPr>
            </w:pPr>
          </w:p>
        </w:tc>
        <w:tc>
          <w:tcPr>
            <w:tcW w:w="1420" w:type="dxa"/>
            <w:vAlign w:val="bottom"/>
            <w:gridSpan w:val="12"/>
          </w:tcPr>
          <w:p>
            <w:pPr>
              <w:spacing w:after="0" w:line="20" w:lineRule="exact"/>
              <w:rPr>
                <w:sz w:val="1"/>
                <w:szCs w:val="1"/>
                <w:color w:val="auto"/>
              </w:rPr>
            </w:pPr>
          </w:p>
        </w:tc>
        <w:tc>
          <w:tcPr>
            <w:tcW w:w="1120" w:type="dxa"/>
            <w:vAlign w:val="bottom"/>
            <w:gridSpan w:val="1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41"/>
          </w:tcPr>
          <w:p>
            <w:pPr>
              <w:spacing w:after="0"/>
              <w:rPr>
                <w:sz w:val="20"/>
                <w:szCs w:val="20"/>
                <w:color w:val="auto"/>
              </w:rPr>
            </w:pPr>
            <w:r>
              <w:rPr>
                <w:rFonts w:ascii="Times New Roman" w:cs="Times New Roman" w:eastAsia="Times New Roman" w:hAnsi="Times New Roman"/>
                <w:sz w:val="16"/>
                <w:szCs w:val="16"/>
                <w:color w:val="0000FF"/>
              </w:rPr>
              <w:t>Committee Actions in Connection with Say-on-Pay Vote</w:t>
            </w: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80" w:type="dxa"/>
            <w:vAlign w:val="bottom"/>
            <w:tcBorders>
              <w:top w:val="single" w:sz="8" w:color="0000FF"/>
            </w:tcBorders>
            <w:gridSpan w:val="31"/>
          </w:tcPr>
          <w:p>
            <w:pPr>
              <w:spacing w:after="0"/>
              <w:rPr>
                <w:sz w:val="20"/>
                <w:szCs w:val="20"/>
                <w:color w:val="auto"/>
              </w:rPr>
            </w:pPr>
            <w:r>
              <w:rPr>
                <w:rFonts w:ascii="Times New Roman" w:cs="Times New Roman" w:eastAsia="Times New Roman" w:hAnsi="Times New Roman"/>
                <w:sz w:val="16"/>
                <w:szCs w:val="16"/>
                <w:color w:val="0000FF"/>
              </w:rPr>
              <w:t>Pay for Performance / At-Risk Pay</w:t>
            </w:r>
          </w:p>
        </w:tc>
        <w:tc>
          <w:tcPr>
            <w:tcW w:w="1120" w:type="dxa"/>
            <w:vAlign w:val="bottom"/>
            <w:gridSpan w:val="10"/>
          </w:tcPr>
          <w:p>
            <w:pPr>
              <w:spacing w:after="0"/>
              <w:rPr>
                <w:sz w:val="17"/>
                <w:szCs w:val="17"/>
                <w:color w:val="auto"/>
              </w:rPr>
            </w:pPr>
          </w:p>
        </w:tc>
        <w:tc>
          <w:tcPr>
            <w:tcW w:w="104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878"/>
        </w:trPr>
        <w:tc>
          <w:tcPr>
            <w:tcW w:w="100" w:type="dxa"/>
            <w:vAlign w:val="bottom"/>
            <w:tcBorders>
              <w:bottom w:val="single" w:sz="8" w:color="9A9A9A"/>
            </w:tcBorders>
            <w:gridSpan w:val="2"/>
          </w:tcPr>
          <w:p>
            <w:pPr>
              <w:spacing w:after="0"/>
              <w:rPr>
                <w:sz w:val="24"/>
                <w:szCs w:val="24"/>
                <w:color w:val="auto"/>
              </w:rPr>
            </w:pPr>
          </w:p>
        </w:tc>
        <w:tc>
          <w:tcPr>
            <w:tcW w:w="2260" w:type="dxa"/>
            <w:vAlign w:val="bottom"/>
            <w:tcBorders>
              <w:top w:val="single" w:sz="8" w:color="0000FF"/>
              <w:bottom w:val="single" w:sz="8" w:color="9A9A9A"/>
            </w:tcBorders>
            <w:gridSpan w:val="19"/>
          </w:tcPr>
          <w:p>
            <w:pPr>
              <w:spacing w:after="0"/>
              <w:rPr>
                <w:sz w:val="24"/>
                <w:szCs w:val="24"/>
                <w:color w:val="auto"/>
              </w:rPr>
            </w:pPr>
          </w:p>
        </w:tc>
        <w:tc>
          <w:tcPr>
            <w:tcW w:w="8880" w:type="dxa"/>
            <w:vAlign w:val="bottom"/>
            <w:tcBorders>
              <w:bottom w:val="single" w:sz="8" w:color="9A9A9A"/>
            </w:tcBorders>
            <w:gridSpan w:val="53"/>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SUMMARY</w:t>
      </w:r>
    </w:p>
    <w:p>
      <w:pPr>
        <w:spacing w:after="0" w:line="202" w:lineRule="exact"/>
        <w:rPr>
          <w:sz w:val="20"/>
          <w:szCs w:val="20"/>
          <w:color w:val="auto"/>
        </w:rPr>
      </w:pPr>
    </w:p>
    <w:p>
      <w:pPr>
        <w:ind w:right="440" w:firstLine="551"/>
        <w:spacing w:after="0" w:line="237" w:lineRule="auto"/>
        <w:rPr>
          <w:sz w:val="20"/>
          <w:szCs w:val="20"/>
          <w:color w:val="auto"/>
        </w:rPr>
      </w:pPr>
      <w:r>
        <w:rPr>
          <w:rFonts w:ascii="Times New Roman" w:cs="Times New Roman" w:eastAsia="Times New Roman" w:hAnsi="Times New Roman"/>
          <w:sz w:val="18"/>
          <w:szCs w:val="18"/>
          <w:color w:val="auto"/>
        </w:rPr>
        <w:t>This summary highlights information that is described in more detail elsewhere in this proxy statement. This summary does not contain all the information you should consider before you vote, and you should read the entire proxy statement carefully before voting.</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Borders>
              <w:bottom w:val="single" w:sz="8" w:color="auto"/>
            </w:tcBorders>
          </w:tcPr>
          <w:p>
            <w:pPr>
              <w:spacing w:after="0"/>
              <w:rPr>
                <w:sz w:val="20"/>
                <w:szCs w:val="20"/>
                <w:color w:val="auto"/>
              </w:rPr>
            </w:pPr>
          </w:p>
        </w:tc>
        <w:tc>
          <w:tcPr>
            <w:tcW w:w="9540" w:type="dxa"/>
            <w:vAlign w:val="bottom"/>
            <w:tcBorders>
              <w:bottom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tc>
      </w:tr>
      <w:tr>
        <w:trPr>
          <w:trHeight w:val="223"/>
        </w:trPr>
        <w:tc>
          <w:tcPr>
            <w:tcW w:w="1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Meeting Date:</w:t>
            </w:r>
          </w:p>
        </w:tc>
        <w:tc>
          <w:tcPr>
            <w:tcW w:w="9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May 22, 2024</w:t>
            </w:r>
          </w:p>
        </w:tc>
      </w:tr>
      <w:tr>
        <w:trPr>
          <w:trHeight w:val="229"/>
        </w:trPr>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Time:</w:t>
            </w:r>
          </w:p>
        </w:tc>
        <w:tc>
          <w:tcPr>
            <w:tcW w:w="95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10:30 a.m. Local Time</w:t>
            </w:r>
          </w:p>
        </w:tc>
      </w:tr>
      <w:tr>
        <w:trPr>
          <w:trHeight w:val="230"/>
        </w:trPr>
        <w:tc>
          <w:tcPr>
            <w:tcW w:w="1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Place:</w:t>
            </w:r>
          </w:p>
        </w:tc>
        <w:tc>
          <w:tcPr>
            <w:tcW w:w="9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6027 Edgewood Bend Court, San Diego, California 92130</w:t>
            </w:r>
          </w:p>
        </w:tc>
      </w:tr>
      <w:tr>
        <w:trPr>
          <w:trHeight w:val="238"/>
        </w:trPr>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95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March 25, 2024</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Vote</w:t>
      </w:r>
    </w:p>
    <w:p>
      <w:pPr>
        <w:spacing w:after="0" w:line="198" w:lineRule="exact"/>
        <w:rPr>
          <w:sz w:val="20"/>
          <w:szCs w:val="20"/>
          <w:color w:val="auto"/>
        </w:rPr>
      </w:pPr>
    </w:p>
    <w:p>
      <w:pPr>
        <w:ind w:right="180" w:firstLine="551"/>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w:t>
      </w:r>
      <w:r>
        <w:rPr>
          <w:rFonts w:ascii="Times New Roman" w:cs="Times New Roman" w:eastAsia="Times New Roman" w:hAnsi="Times New Roman"/>
          <w:sz w:val="18"/>
          <w:szCs w:val="18"/>
          <w:color w:val="auto"/>
        </w:rPr>
        <w:t>Whether or not you plan to attend the Annual Meeting, we hope you will vote as soon as possible. You may vote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ways:</w:t>
      </w:r>
    </w:p>
    <w:p>
      <w:pPr>
        <w:spacing w:after="0" w:line="200" w:lineRule="exact"/>
        <w:rPr>
          <w:sz w:val="20"/>
          <w:szCs w:val="20"/>
          <w:color w:val="auto"/>
        </w:rPr>
      </w:pPr>
    </w:p>
    <w:p>
      <w:pPr>
        <w:spacing w:after="0" w:line="27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Telephone: </w:t>
      </w:r>
      <w:r>
        <w:rPr>
          <w:rFonts w:ascii="Times New Roman" w:cs="Times New Roman" w:eastAsia="Times New Roman" w:hAnsi="Times New Roman"/>
          <w:sz w:val="18"/>
          <w:szCs w:val="18"/>
          <w:color w:val="auto"/>
        </w:rPr>
        <w:t>Call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1-800-690-6903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any touch-tone telephone to transmit your voting instructions up until 11:59 P.M. Eastern Time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-65405</wp:posOffset>
            </wp:positionV>
            <wp:extent cx="342900"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0" cy="196850"/>
                    </a:xfrm>
                    <a:prstGeom prst="rect">
                      <a:avLst/>
                    </a:prstGeom>
                    <a:noFill/>
                  </pic:spPr>
                </pic:pic>
              </a:graphicData>
            </a:graphic>
          </wp:anchor>
        </w:drawing>
      </w:r>
    </w:p>
    <w:p>
      <w:pPr>
        <w:ind w:left="1040" w:right="340"/>
        <w:spacing w:after="0" w:line="226" w:lineRule="auto"/>
        <w:rPr>
          <w:sz w:val="20"/>
          <w:szCs w:val="20"/>
          <w:color w:val="auto"/>
        </w:rPr>
      </w:pPr>
      <w:r>
        <w:rPr>
          <w:rFonts w:ascii="Times New Roman" w:cs="Times New Roman" w:eastAsia="Times New Roman" w:hAnsi="Times New Roman"/>
          <w:sz w:val="18"/>
          <w:szCs w:val="18"/>
          <w:color w:val="auto"/>
        </w:rPr>
        <w:t>day before the meeting date. Have your proxy card in hand when you call and then follow the instructions. Easy-to-follow voice prompts allow you to submit your proxy and confirm your instructions have been properly recorded.</w:t>
      </w:r>
    </w:p>
    <w:p>
      <w:pPr>
        <w:spacing w:after="0" w:line="5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Internet: </w:t>
      </w:r>
      <w:r>
        <w:rPr>
          <w:rFonts w:ascii="Times New Roman" w:cs="Times New Roman" w:eastAsia="Times New Roman" w:hAnsi="Times New Roman"/>
          <w:sz w:val="18"/>
          <w:szCs w:val="18"/>
          <w:color w:val="auto"/>
        </w:rPr>
        <w:t>Visit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www.proxyvote.com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transmit your voting instructions and for electronic delivery of information via the Internet up until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-82550</wp:posOffset>
            </wp:positionV>
            <wp:extent cx="30861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8610" cy="222885"/>
                    </a:xfrm>
                    <a:prstGeom prst="rect">
                      <a:avLst/>
                    </a:prstGeom>
                    <a:noFill/>
                  </pic:spPr>
                </pic:pic>
              </a:graphicData>
            </a:graphic>
          </wp:anchor>
        </w:drawing>
      </w:r>
    </w:p>
    <w:p>
      <w:pPr>
        <w:ind w:left="1040" w:right="600"/>
        <w:spacing w:after="0" w:line="226" w:lineRule="auto"/>
        <w:rPr>
          <w:sz w:val="20"/>
          <w:szCs w:val="20"/>
          <w:color w:val="auto"/>
        </w:rPr>
      </w:pPr>
      <w:r>
        <w:rPr>
          <w:rFonts w:ascii="Times New Roman" w:cs="Times New Roman" w:eastAsia="Times New Roman" w:hAnsi="Times New Roman"/>
          <w:sz w:val="18"/>
          <w:szCs w:val="18"/>
          <w:color w:val="auto"/>
        </w:rPr>
        <w:t>11:59 P.M. Eastern Time the day before the meeting date. As with telephone voting, you can confirm that your instructions have been properly recorded.</w:t>
      </w:r>
    </w:p>
    <w:p>
      <w:pPr>
        <w:spacing w:after="0" w:line="59" w:lineRule="exact"/>
        <w:rPr>
          <w:sz w:val="20"/>
          <w:szCs w:val="20"/>
          <w:color w:val="auto"/>
        </w:rPr>
      </w:pPr>
    </w:p>
    <w:p>
      <w:pPr>
        <w:ind w:left="1040" w:right="2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Mail: </w:t>
      </w:r>
      <w:r>
        <w:rPr>
          <w:rFonts w:ascii="Times New Roman" w:cs="Times New Roman" w:eastAsia="Times New Roman" w:hAnsi="Times New Roman"/>
          <w:sz w:val="18"/>
          <w:szCs w:val="18"/>
          <w:color w:val="auto"/>
        </w:rPr>
        <w:t>Mark, sign and date your proxy card and return it in the postage-paid envelope we have provided or return it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Vote Processing, 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Broadridge, 51 Mercedes Way, Edgewood, NY 11717</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-273050</wp:posOffset>
            </wp:positionV>
            <wp:extent cx="265430"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5430" cy="21463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Matters to be Voted On</w:t>
      </w:r>
    </w:p>
    <w:p>
      <w:pPr>
        <w:spacing w:after="0" w:line="200" w:lineRule="exact"/>
        <w:rPr>
          <w:sz w:val="20"/>
          <w:szCs w:val="20"/>
          <w:color w:val="auto"/>
        </w:rPr>
      </w:pPr>
    </w:p>
    <w:p>
      <w:pPr>
        <w:spacing w:after="0" w:line="22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19685</wp:posOffset>
            </wp:positionV>
            <wp:extent cx="668655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86550" cy="15430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Proposal One: Elect Class I Directors</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Proposal Two: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6686550" cy="3771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86550" cy="377190"/>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Proposal Three: Approve an amendment to the Company’s 2020 Equity Incentive</w:t>
      </w:r>
    </w:p>
    <w:p>
      <w:pPr>
        <w:spacing w:after="0" w:line="9" w:lineRule="exact"/>
        <w:rPr>
          <w:sz w:val="20"/>
          <w:szCs w:val="20"/>
          <w:color w:val="auto"/>
        </w:rPr>
      </w:pPr>
    </w:p>
    <w:p>
      <w:pPr>
        <w:ind w:left="480" w:right="380"/>
        <w:spacing w:after="0" w:line="226" w:lineRule="auto"/>
        <w:rPr>
          <w:sz w:val="20"/>
          <w:szCs w:val="20"/>
          <w:color w:val="auto"/>
        </w:rPr>
      </w:pPr>
      <w:r>
        <w:rPr>
          <w:rFonts w:ascii="Times New Roman" w:cs="Times New Roman" w:eastAsia="Times New Roman" w:hAnsi="Times New Roman"/>
          <w:sz w:val="18"/>
          <w:szCs w:val="18"/>
          <w:b w:val="1"/>
          <w:bCs w:val="1"/>
          <w:color w:val="auto"/>
        </w:rPr>
        <w:t>Plan to increase the number of shares of common stock reserved for issuance thereunder by 3,635,000 shares</w:t>
      </w:r>
    </w:p>
    <w:p>
      <w:pPr>
        <w:ind w:left="480" w:right="440"/>
        <w:spacing w:after="0" w:line="245" w:lineRule="auto"/>
        <w:rPr>
          <w:sz w:val="20"/>
          <w:szCs w:val="20"/>
          <w:color w:val="auto"/>
        </w:rPr>
      </w:pPr>
      <w:r>
        <w:rPr>
          <w:rFonts w:ascii="Times New Roman" w:cs="Times New Roman" w:eastAsia="Times New Roman" w:hAnsi="Times New Roman"/>
          <w:sz w:val="18"/>
          <w:szCs w:val="18"/>
          <w:b w:val="1"/>
          <w:bCs w:val="1"/>
          <w:color w:val="auto"/>
        </w:rPr>
        <w:t>Proposal Four: Ratify Ernst &amp; Young LLP as independent registered public accounting firm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Board of Directors</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Page Reference for</w:t>
            </w:r>
          </w:p>
        </w:tc>
      </w:tr>
      <w:tr>
        <w:trPr>
          <w:trHeight w:val="238"/>
        </w:trPr>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Recommendation</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More Information</w:t>
            </w:r>
          </w:p>
        </w:tc>
      </w:tr>
      <w:tr>
        <w:trPr>
          <w:trHeight w:val="214"/>
        </w:trPr>
        <w:tc>
          <w:tcPr>
            <w:tcW w:w="1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xml:space="preserve">FOR </w:t>
            </w:r>
            <w:r>
              <w:rPr>
                <w:rFonts w:ascii="Times New Roman" w:cs="Times New Roman" w:eastAsia="Times New Roman" w:hAnsi="Times New Roman"/>
                <w:sz w:val="18"/>
                <w:szCs w:val="18"/>
                <w:color w:val="auto"/>
                <w:w w:val="99"/>
              </w:rPr>
              <w:t>all nominees</w:t>
            </w:r>
          </w:p>
        </w:tc>
        <w:tc>
          <w:tcPr>
            <w:tcW w:w="80" w:type="dxa"/>
            <w:vAlign w:val="bottom"/>
          </w:tcPr>
          <w:p>
            <w:pPr>
              <w:spacing w:after="0"/>
              <w:rPr>
                <w:sz w:val="18"/>
                <w:szCs w:val="18"/>
                <w:color w:val="auto"/>
              </w:rPr>
            </w:pPr>
          </w:p>
        </w:tc>
        <w:tc>
          <w:tcPr>
            <w:tcW w:w="1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22</w:t>
            </w:r>
          </w:p>
        </w:tc>
      </w:tr>
      <w:tr>
        <w:trPr>
          <w:trHeight w:val="238"/>
        </w:trPr>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24</w:t>
            </w:r>
          </w:p>
        </w:tc>
      </w:tr>
      <w:tr>
        <w:trPr>
          <w:trHeight w:val="405"/>
        </w:trPr>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25</w:t>
            </w:r>
          </w:p>
        </w:tc>
      </w:tr>
      <w:tr>
        <w:trPr>
          <w:trHeight w:val="513"/>
        </w:trPr>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38</w:t>
            </w:r>
          </w:p>
        </w:tc>
      </w:tr>
    </w:tbl>
    <w:p>
      <w:pPr>
        <w:spacing w:after="0" w:line="298" w:lineRule="exact"/>
        <w:rPr>
          <w:sz w:val="20"/>
          <w:szCs w:val="20"/>
          <w:color w:val="auto"/>
        </w:rPr>
      </w:pPr>
    </w:p>
    <w:p>
      <w:pPr>
        <w:sectPr>
          <w:pgSz w:w="11900" w:h="16838" w:orient="portrait"/>
          <w:cols w:equalWidth="0" w:num="2">
            <w:col w:w="6740" w:space="180"/>
            <w:col w:w="4320"/>
          </w:cols>
          <w:pgMar w:left="320" w:top="11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603885</wp:posOffset>
            </wp:positionV>
            <wp:extent cx="2237105" cy="402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3710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6027 Edgewood Bend Court</w:t>
      </w:r>
    </w:p>
    <w:p>
      <w:pPr>
        <w:ind w:left="4540"/>
        <w:spacing w:after="0"/>
        <w:rPr>
          <w:sz w:val="20"/>
          <w:szCs w:val="20"/>
          <w:color w:val="auto"/>
        </w:rPr>
      </w:pPr>
      <w:r>
        <w:rPr>
          <w:rFonts w:ascii="Times New Roman" w:cs="Times New Roman" w:eastAsia="Times New Roman" w:hAnsi="Times New Roman"/>
          <w:sz w:val="18"/>
          <w:szCs w:val="18"/>
          <w:b w:val="1"/>
          <w:bCs w:val="1"/>
          <w:color w:val="auto"/>
        </w:rPr>
        <w:t>San Diego, California 92130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Proxy is solicited on behalf of Neurocrine Biosciences, Inc., a Delaware corporation (the “Company” or “Neurocrine Biosciences”), for use at</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its 2024 Annual Meeting of Stockholders (the “Annual Meeting”) to be held on May 22, 2024 beginning at 10:30 a.m., local time, or at any continuations, postponements or adjournments thereof for the purposes set forth in this proxy statement and the accompanying Notice of Annual Meeting of Stockholders. The Annual Meeting will be held at the Company’s corporate offices, located at 6027 Edgewood Bend Court, San Diego, California 92130. The Company’s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 is (858) 617-7600.</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THE ANNUAL MEETING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Why did I receive these proxy materials?</w:t>
      </w:r>
    </w:p>
    <w:p>
      <w:pPr>
        <w:spacing w:after="0" w:line="189" w:lineRule="exact"/>
        <w:rPr>
          <w:sz w:val="20"/>
          <w:szCs w:val="20"/>
          <w:color w:val="auto"/>
        </w:rPr>
      </w:pPr>
    </w:p>
    <w:p>
      <w:pPr>
        <w:ind w:right="380" w:firstLine="551"/>
        <w:spacing w:after="0" w:line="250" w:lineRule="auto"/>
        <w:rPr>
          <w:sz w:val="20"/>
          <w:szCs w:val="20"/>
          <w:color w:val="auto"/>
        </w:rPr>
      </w:pPr>
      <w:r>
        <w:rPr>
          <w:rFonts w:ascii="Times New Roman" w:cs="Times New Roman" w:eastAsia="Times New Roman" w:hAnsi="Times New Roman"/>
          <w:sz w:val="18"/>
          <w:szCs w:val="18"/>
          <w:color w:val="auto"/>
        </w:rPr>
        <w:t>The Company has sent you these proxy materials because the Board of Directors of the Company is soliciting your proxy to vote at the Annual Meeting, including at any adjournments or postponements of the Annual Meeting.</w:t>
      </w:r>
    </w:p>
    <w:p>
      <w:pPr>
        <w:spacing w:after="0" w:line="149" w:lineRule="exact"/>
        <w:rPr>
          <w:sz w:val="20"/>
          <w:szCs w:val="20"/>
          <w:color w:val="auto"/>
        </w:rPr>
      </w:pPr>
    </w:p>
    <w:p>
      <w:pPr>
        <w:ind w:right="960" w:firstLine="551"/>
        <w:spacing w:after="0" w:line="461" w:lineRule="auto"/>
        <w:rPr>
          <w:sz w:val="20"/>
          <w:szCs w:val="20"/>
          <w:color w:val="auto"/>
        </w:rPr>
      </w:pPr>
      <w:r>
        <w:rPr>
          <w:rFonts w:ascii="Times New Roman" w:cs="Times New Roman" w:eastAsia="Times New Roman" w:hAnsi="Times New Roman"/>
          <w:sz w:val="18"/>
          <w:szCs w:val="18"/>
          <w:color w:val="auto"/>
        </w:rPr>
        <w:t xml:space="preserve">We intend to mail these proxy materials on or about April 10, 2024 to all stockholders of record entitled to vote at the Annual Meeting. </w:t>
      </w:r>
      <w:r>
        <w:rPr>
          <w:rFonts w:ascii="Times New Roman" w:cs="Times New Roman" w:eastAsia="Times New Roman" w:hAnsi="Times New Roman"/>
          <w:sz w:val="18"/>
          <w:szCs w:val="18"/>
          <w:b w:val="1"/>
          <w:bCs w:val="1"/>
          <w:i w:val="1"/>
          <w:iCs w:val="1"/>
          <w:color w:val="auto"/>
        </w:rPr>
        <w:t>What is the purpose of the Annual Meeting?</w:t>
      </w:r>
    </w:p>
    <w:p>
      <w:pPr>
        <w:spacing w:after="0" w:line="1" w:lineRule="exact"/>
        <w:rPr>
          <w:sz w:val="20"/>
          <w:szCs w:val="20"/>
          <w:color w:val="auto"/>
        </w:rPr>
      </w:pPr>
    </w:p>
    <w:p>
      <w:pPr>
        <w:ind w:right="340" w:firstLine="551"/>
        <w:spacing w:after="0" w:line="216" w:lineRule="auto"/>
        <w:rPr>
          <w:sz w:val="20"/>
          <w:szCs w:val="20"/>
          <w:color w:val="auto"/>
        </w:rPr>
      </w:pPr>
      <w:r>
        <w:rPr>
          <w:rFonts w:ascii="Times New Roman" w:cs="Times New Roman" w:eastAsia="Times New Roman" w:hAnsi="Times New Roman"/>
          <w:sz w:val="18"/>
          <w:szCs w:val="18"/>
          <w:color w:val="auto"/>
        </w:rPr>
        <w:t>At the Annual Meeting, stockholders will act upon the matters outlined in these proxy materials, including the election of the four nominees for Class I directors named herein, an advisory vote on the compensation paid to the Company’s named executive officers, approval of an amendment increasing the number of shares of common stock reserved for issuance under the Company’s 2020 Equity Incentive Plan by 3,635,000 shares; and</w:t>
      </w:r>
    </w:p>
    <w:p>
      <w:pPr>
        <w:spacing w:after="0" w:line="1" w:lineRule="exact"/>
        <w:rPr>
          <w:sz w:val="20"/>
          <w:szCs w:val="20"/>
          <w:color w:val="auto"/>
        </w:rPr>
      </w:pPr>
    </w:p>
    <w:p>
      <w:pPr>
        <w:ind w:right="820"/>
        <w:spacing w:after="0" w:line="226" w:lineRule="auto"/>
        <w:rPr>
          <w:sz w:val="20"/>
          <w:szCs w:val="20"/>
          <w:color w:val="auto"/>
        </w:rPr>
      </w:pPr>
      <w:r>
        <w:rPr>
          <w:rFonts w:ascii="Times New Roman" w:cs="Times New Roman" w:eastAsia="Times New Roman" w:hAnsi="Times New Roman"/>
          <w:sz w:val="18"/>
          <w:szCs w:val="18"/>
          <w:color w:val="auto"/>
        </w:rPr>
        <w:t>ratification of the appointment of Ernst &amp; Young LLP as the Company’s independent registered public accounting firm for the fiscal year ending December 31,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can attend the Annual Meeting?</w:t>
      </w:r>
    </w:p>
    <w:p>
      <w:pPr>
        <w:spacing w:after="0" w:line="202" w:lineRule="exact"/>
        <w:rPr>
          <w:sz w:val="20"/>
          <w:szCs w:val="20"/>
          <w:color w:val="auto"/>
        </w:rPr>
      </w:pPr>
    </w:p>
    <w:p>
      <w:pPr>
        <w:jc w:val="both"/>
        <w:ind w:right="140" w:firstLine="551"/>
        <w:spacing w:after="0" w:line="216" w:lineRule="auto"/>
        <w:rPr>
          <w:sz w:val="20"/>
          <w:szCs w:val="20"/>
          <w:color w:val="auto"/>
        </w:rPr>
      </w:pPr>
      <w:r>
        <w:rPr>
          <w:rFonts w:ascii="Times New Roman" w:cs="Times New Roman" w:eastAsia="Times New Roman" w:hAnsi="Times New Roman"/>
          <w:sz w:val="18"/>
          <w:szCs w:val="18"/>
          <w:color w:val="auto"/>
        </w:rPr>
        <w:t>All stockholders of record at the close of business on March 25, 2024 (the “Record Date”), or their duly appointed proxies, may attend the Annual Meeting. If you attend, please note that you may be asked to present valid picture identification, such as a driver’s license or passport. Cameras, recording devices and other electronic devices will not be permitted at the Annual Meeting. Please also note that if you hold your shares in “street name” (that is,</w:t>
      </w:r>
    </w:p>
    <w:p>
      <w:pPr>
        <w:spacing w:after="0" w:line="1"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through a broker or other nominee), you will need to bring a copy of a brokerage statement reflecting your stock ownership as of the record date and check in at the registration desk at the Annual Meeting.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is entitled to vote at the Annual Meeting?</w:t>
      </w:r>
    </w:p>
    <w:p>
      <w:pPr>
        <w:spacing w:after="0" w:line="202" w:lineRule="exact"/>
        <w:rPr>
          <w:sz w:val="20"/>
          <w:szCs w:val="20"/>
          <w:color w:val="auto"/>
        </w:rPr>
      </w:pPr>
    </w:p>
    <w:p>
      <w:pPr>
        <w:ind w:right="20" w:firstLine="551"/>
        <w:spacing w:after="0" w:line="216" w:lineRule="auto"/>
        <w:rPr>
          <w:sz w:val="20"/>
          <w:szCs w:val="20"/>
          <w:color w:val="auto"/>
        </w:rPr>
      </w:pPr>
      <w:r>
        <w:rPr>
          <w:rFonts w:ascii="Times New Roman" w:cs="Times New Roman" w:eastAsia="Times New Roman" w:hAnsi="Times New Roman"/>
          <w:sz w:val="18"/>
          <w:szCs w:val="18"/>
          <w:color w:val="auto"/>
        </w:rPr>
        <w:t>Stockholders of record at the close of business on the Record Date are entitled to receive notice of and to participate in the Annual Meeting. At the close of business on the Record Date, 100,580,497 shares of the Company’s common stock, $0.001 par value per share, were issued and outstanding. If you were a stockholder of record on that date, you will be entitled to vote all of the shares that you held on that date at the Annual Meeting, or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continuations, postponements or adjournments of the Annual Meeting.</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outstanding share of the Company’s common stock will be entitled to one vote on each proposal considered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constitutes a quorum? What are broker non-votes? What are advisory votes?</w:t>
      </w:r>
    </w:p>
    <w:p>
      <w:pPr>
        <w:spacing w:after="0" w:line="202" w:lineRule="exact"/>
        <w:rPr>
          <w:sz w:val="20"/>
          <w:szCs w:val="20"/>
          <w:color w:val="auto"/>
        </w:rPr>
      </w:pPr>
    </w:p>
    <w:p>
      <w:pPr>
        <w:ind w:right="240" w:firstLine="551"/>
        <w:spacing w:after="0" w:line="229" w:lineRule="auto"/>
        <w:rPr>
          <w:sz w:val="20"/>
          <w:szCs w:val="20"/>
          <w:color w:val="auto"/>
        </w:rPr>
      </w:pPr>
      <w:r>
        <w:rPr>
          <w:rFonts w:ascii="Times New Roman" w:cs="Times New Roman" w:eastAsia="Times New Roman" w:hAnsi="Times New Roman"/>
          <w:sz w:val="17"/>
          <w:szCs w:val="17"/>
          <w:color w:val="auto"/>
        </w:rPr>
        <w:t>The presence at the Annual Meeting, in person or by proxy, of the holders of a majority of the aggregate voting power of the common stock outstanding on the Record Date will constitute a quorum, permitting the Company to conduct its business at the Annual Meeting. As of the Record Date, 100,580,497 shares of common stock, representing the same number of votes, were outstanding. Thus, the presence of the holders of common stock</w:t>
      </w:r>
    </w:p>
    <w:p>
      <w:pPr>
        <w:ind w:right="200"/>
        <w:spacing w:after="0" w:line="226" w:lineRule="auto"/>
        <w:rPr>
          <w:sz w:val="20"/>
          <w:szCs w:val="20"/>
          <w:color w:val="auto"/>
        </w:rPr>
      </w:pPr>
      <w:r>
        <w:rPr>
          <w:rFonts w:ascii="Times New Roman" w:cs="Times New Roman" w:eastAsia="Times New Roman" w:hAnsi="Times New Roman"/>
          <w:sz w:val="18"/>
          <w:szCs w:val="18"/>
          <w:color w:val="auto"/>
        </w:rPr>
        <w:t>representing at least 50,290,249 shares will be required to establish a quorum. The presence of a quorum will be determined by the Inspector of Elections (the “Inspector”).</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Proxies received but marked as abstentions, as well as “broker non-votes,” will be included in the calculation of the number of shares considered to</w:t>
      </w:r>
    </w:p>
    <w:p>
      <w:pPr>
        <w:spacing w:after="0" w:line="2" w:lineRule="exact"/>
        <w:rPr>
          <w:sz w:val="20"/>
          <w:szCs w:val="20"/>
          <w:color w:val="auto"/>
        </w:rPr>
      </w:pPr>
    </w:p>
    <w:p>
      <w:pPr>
        <w:ind w:right="200"/>
        <w:spacing w:after="0" w:line="220" w:lineRule="auto"/>
        <w:rPr>
          <w:sz w:val="20"/>
          <w:szCs w:val="20"/>
          <w:color w:val="auto"/>
        </w:rPr>
      </w:pPr>
      <w:r>
        <w:rPr>
          <w:rFonts w:ascii="Times New Roman" w:cs="Times New Roman" w:eastAsia="Times New Roman" w:hAnsi="Times New Roman"/>
          <w:sz w:val="17"/>
          <w:szCs w:val="17"/>
          <w:color w:val="auto"/>
        </w:rPr>
        <w:t>be present at the Annual Meeting. Broker non-votes occur when a holder of shares in “street name” does not give instructions to the broker or nominee holding the shares as to how to vote on “non-routine” matters. Under the rules and interpretations of the New York Stock Exchange (the “NYSE”), “non-routine” matters are matters that may substantively affect the rights or privileges of stockholders, such as mergers, stockholder proposals and elections of</w:t>
      </w:r>
    </w:p>
    <w:p>
      <w:pPr>
        <w:spacing w:after="0" w:line="2" w:lineRule="exact"/>
        <w:rPr>
          <w:sz w:val="20"/>
          <w:szCs w:val="20"/>
          <w:color w:val="auto"/>
        </w:rPr>
      </w:pPr>
    </w:p>
    <w:p>
      <w:pPr>
        <w:ind w:right="180"/>
        <w:spacing w:after="0" w:line="220" w:lineRule="auto"/>
        <w:rPr>
          <w:sz w:val="20"/>
          <w:szCs w:val="20"/>
          <w:color w:val="auto"/>
        </w:rPr>
      </w:pPr>
      <w:r>
        <w:rPr>
          <w:rFonts w:ascii="Times New Roman" w:cs="Times New Roman" w:eastAsia="Times New Roman" w:hAnsi="Times New Roman"/>
          <w:sz w:val="17"/>
          <w:szCs w:val="17"/>
          <w:color w:val="auto"/>
        </w:rPr>
        <w:t>directors, even if not contested. In addition, as required by Section 957 of the Dodd-Frank Wall Street Reform and Consumer Protection Act of 2010, advisory votes on executive compensation are non-routine matters for which brokers do not have discretionary authority to vote shares held by account holders. Only ratification of our independent registered public accounting firm under Proposal Four is considered a routine matter, meaning that if you do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return voting instructions to your broker by its deadline, your shares may be voted by your broker in its discretion on Proposal Four.</w:t>
      </w:r>
    </w:p>
    <w:p>
      <w:pPr>
        <w:spacing w:after="0" w:line="165" w:lineRule="exact"/>
        <w:rPr>
          <w:sz w:val="20"/>
          <w:szCs w:val="20"/>
          <w:color w:val="auto"/>
        </w:rPr>
      </w:pPr>
    </w:p>
    <w:p>
      <w:pPr>
        <w:ind w:firstLine="551"/>
        <w:spacing w:after="0" w:line="226" w:lineRule="auto"/>
        <w:rPr>
          <w:sz w:val="20"/>
          <w:szCs w:val="20"/>
          <w:color w:val="auto"/>
        </w:rPr>
      </w:pPr>
      <w:r>
        <w:rPr>
          <w:rFonts w:ascii="Times New Roman" w:cs="Times New Roman" w:eastAsia="Times New Roman" w:hAnsi="Times New Roman"/>
          <w:sz w:val="18"/>
          <w:szCs w:val="18"/>
          <w:color w:val="auto"/>
        </w:rPr>
        <w:t>The vote on Proposal Two is advisory. The outcome of this vote will not be binding on the Company or the Board of Directors and will not create or imply any change to the fiduciary duties of the Board of Directors. However, the Company and the Board of Directors will consider the results of the advisory vote on Proposal Two in making future decisions about compensation of the Company’s named executive officers.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vote my shares in person at the Annual Meeting?</w:t>
      </w:r>
    </w:p>
    <w:p>
      <w:pPr>
        <w:spacing w:after="0" w:line="189" w:lineRule="exact"/>
        <w:rPr>
          <w:sz w:val="20"/>
          <w:szCs w:val="20"/>
          <w:color w:val="auto"/>
        </w:rPr>
      </w:pPr>
    </w:p>
    <w:p>
      <w:pPr>
        <w:ind w:right="440" w:firstLine="551"/>
        <w:spacing w:after="0" w:line="236" w:lineRule="auto"/>
        <w:rPr>
          <w:sz w:val="20"/>
          <w:szCs w:val="20"/>
          <w:color w:val="auto"/>
        </w:rPr>
      </w:pPr>
      <w:r>
        <w:rPr>
          <w:rFonts w:ascii="Times New Roman" w:cs="Times New Roman" w:eastAsia="Times New Roman" w:hAnsi="Times New Roman"/>
          <w:sz w:val="17"/>
          <w:szCs w:val="17"/>
          <w:color w:val="auto"/>
        </w:rPr>
        <w:t>You may vote your shares held in your name as the stockholder of record in person at the Annual Meeting. You may vote your shares held beneficially in street name in person at the Annual Meeting only if you obtain a legal proxy from the broker, bank, trustee, or nominee that holds your</w:t>
      </w:r>
    </w:p>
    <w:p>
      <w:pPr>
        <w:ind w:right="340"/>
        <w:spacing w:after="0" w:line="226" w:lineRule="auto"/>
        <w:rPr>
          <w:sz w:val="20"/>
          <w:szCs w:val="20"/>
          <w:color w:val="auto"/>
        </w:rPr>
      </w:pPr>
      <w:r>
        <w:rPr>
          <w:rFonts w:ascii="Times New Roman" w:cs="Times New Roman" w:eastAsia="Times New Roman" w:hAnsi="Times New Roman"/>
          <w:sz w:val="18"/>
          <w:szCs w:val="18"/>
          <w:color w:val="auto"/>
        </w:rPr>
        <w:t>shares giving you the right to vote the shares. Even if you plan to attend the Annual Meeting, we recommend that you also submit your proxy or voting instructions as described below so that your vote will be counted if you later decide not to attend the Annual Meeting.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can I vote my shares without attending the Annual Meeting?</w:t>
      </w:r>
    </w:p>
    <w:p>
      <w:pPr>
        <w:spacing w:after="0" w:line="202" w:lineRule="exact"/>
        <w:rPr>
          <w:sz w:val="20"/>
          <w:szCs w:val="20"/>
          <w:color w:val="auto"/>
        </w:rPr>
      </w:pPr>
    </w:p>
    <w:p>
      <w:pPr>
        <w:jc w:val="both"/>
        <w:ind w:right="40" w:firstLine="551"/>
        <w:spacing w:after="0" w:line="229" w:lineRule="auto"/>
        <w:rPr>
          <w:sz w:val="20"/>
          <w:szCs w:val="20"/>
          <w:color w:val="auto"/>
        </w:rPr>
      </w:pPr>
      <w:r>
        <w:rPr>
          <w:rFonts w:ascii="Times New Roman" w:cs="Times New Roman" w:eastAsia="Times New Roman" w:hAnsi="Times New Roman"/>
          <w:sz w:val="17"/>
          <w:szCs w:val="17"/>
          <w:color w:val="auto"/>
        </w:rPr>
        <w:t>Whether you hold shares directly as the stockholder of record or beneficially in street name, you are encouraged to direct how your shares are voted without attending the Annual Meeting. If you are a stockholder of record, you are encouraged to vote by proxy. You can vote by proxy over the Internet, by mail or by telephone pursuant to instructions provided on the enclosed proxy card. If you hold shares beneficially in street name, you may also vote by</w:t>
      </w:r>
    </w:p>
    <w:p>
      <w:pPr>
        <w:ind w:right="60"/>
        <w:spacing w:after="0" w:line="226" w:lineRule="auto"/>
        <w:rPr>
          <w:sz w:val="20"/>
          <w:szCs w:val="20"/>
          <w:color w:val="auto"/>
        </w:rPr>
      </w:pPr>
      <w:r>
        <w:rPr>
          <w:rFonts w:ascii="Times New Roman" w:cs="Times New Roman" w:eastAsia="Times New Roman" w:hAnsi="Times New Roman"/>
          <w:sz w:val="18"/>
          <w:szCs w:val="18"/>
          <w:color w:val="auto"/>
        </w:rPr>
        <w:t>proxy over the Internet or you can also vote by telephone or mail by following the voting instruction form provided to you by your broker, bank, trustee, or nominee. The deadline for voting by telephone or electronically is 11:59 p.m., Eastern Time, on May 21,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will bear the cost of soliciting votes for the Annual Meeting?</w:t>
      </w:r>
    </w:p>
    <w:p>
      <w:pPr>
        <w:spacing w:after="0" w:line="202" w:lineRule="exact"/>
        <w:rPr>
          <w:sz w:val="20"/>
          <w:szCs w:val="20"/>
          <w:color w:val="auto"/>
        </w:rPr>
      </w:pPr>
    </w:p>
    <w:p>
      <w:pPr>
        <w:ind w:right="60" w:firstLine="551"/>
        <w:spacing w:after="0" w:line="216" w:lineRule="auto"/>
        <w:rPr>
          <w:sz w:val="20"/>
          <w:szCs w:val="20"/>
          <w:color w:val="auto"/>
        </w:rPr>
      </w:pPr>
      <w:r>
        <w:rPr>
          <w:rFonts w:ascii="Times New Roman" w:cs="Times New Roman" w:eastAsia="Times New Roman" w:hAnsi="Times New Roman"/>
          <w:sz w:val="18"/>
          <w:szCs w:val="18"/>
          <w:color w:val="auto"/>
        </w:rPr>
        <w:t>To the extent such costs are incurred, the cost of solicitation of proxies will be borne by the Company. The Company will reimburse expenses incurred by brokerage firms and other persons representing beneficial owners of shares in forwarding solicitation material to beneficial owners. To assist in soliciting proxies (votes), the Company has retained the professional proxy solicitation firm Alliance Advisors, LLC, at an approximate cost of $30,000.</w:t>
      </w:r>
    </w:p>
    <w:p>
      <w:pPr>
        <w:spacing w:after="0" w:line="1" w:lineRule="exact"/>
        <w:rPr>
          <w:sz w:val="20"/>
          <w:szCs w:val="20"/>
          <w:color w:val="auto"/>
        </w:rPr>
      </w:pPr>
    </w:p>
    <w:p>
      <w:pPr>
        <w:ind w:right="520"/>
        <w:spacing w:after="0" w:line="226" w:lineRule="auto"/>
        <w:rPr>
          <w:sz w:val="20"/>
          <w:szCs w:val="20"/>
          <w:color w:val="auto"/>
        </w:rPr>
      </w:pPr>
      <w:r>
        <w:rPr>
          <w:rFonts w:ascii="Times New Roman" w:cs="Times New Roman" w:eastAsia="Times New Roman" w:hAnsi="Times New Roman"/>
          <w:sz w:val="18"/>
          <w:szCs w:val="18"/>
          <w:color w:val="auto"/>
        </w:rPr>
        <w:t>Proxies also may be solicited by certain of the Company’s directors, officers and regular employees, without additional compensation, personally, by telephone or by other appropriate means.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 I change my vote after I return my proxy?</w:t>
      </w:r>
    </w:p>
    <w:p>
      <w:pPr>
        <w:spacing w:after="0" w:line="229" w:lineRule="exact"/>
        <w:rPr>
          <w:sz w:val="20"/>
          <w:szCs w:val="20"/>
          <w:color w:val="auto"/>
        </w:rPr>
      </w:pPr>
    </w:p>
    <w:p>
      <w:pPr>
        <w:ind w:right="100" w:firstLine="551"/>
        <w:spacing w:after="0" w:line="239" w:lineRule="auto"/>
        <w:rPr>
          <w:sz w:val="20"/>
          <w:szCs w:val="20"/>
          <w:color w:val="auto"/>
        </w:rPr>
      </w:pPr>
      <w:r>
        <w:rPr>
          <w:rFonts w:ascii="Times New Roman" w:cs="Times New Roman" w:eastAsia="Times New Roman" w:hAnsi="Times New Roman"/>
          <w:sz w:val="18"/>
          <w:szCs w:val="18"/>
          <w:color w:val="auto"/>
        </w:rPr>
        <w:t>Yes. Even after you have submitted your proxy, you may change your vote at any time before the proxy is exercised by filing with the Corporate Secretary of the Company either a notice of revocation or a duly executed proxy bearing a later date. Your proxy will also be revoked if you attend the Annual Meeting and vote in person; however, we encourage you to vote your shares via the Internet, telephone or mail, and instructions regarding all three methods of voting are provided on the proxy card. If you hold shares through an account with a brokerage firm, bank or other nominee, please follow the instructions you receive from such firm, bank or other nominee to vote your shares.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does it mean if I receive more than one set of proxy materials?</w:t>
      </w:r>
    </w:p>
    <w:p>
      <w:pPr>
        <w:spacing w:after="0" w:line="189" w:lineRule="exact"/>
        <w:rPr>
          <w:sz w:val="20"/>
          <w:szCs w:val="20"/>
          <w:color w:val="auto"/>
        </w:rPr>
      </w:pPr>
    </w:p>
    <w:p>
      <w:pPr>
        <w:ind w:right="320" w:firstLine="551"/>
        <w:spacing w:after="0" w:line="237" w:lineRule="auto"/>
        <w:rPr>
          <w:sz w:val="20"/>
          <w:szCs w:val="20"/>
          <w:color w:val="auto"/>
        </w:rPr>
      </w:pPr>
      <w:r>
        <w:rPr>
          <w:rFonts w:ascii="Times New Roman" w:cs="Times New Roman" w:eastAsia="Times New Roman" w:hAnsi="Times New Roman"/>
          <w:sz w:val="18"/>
          <w:szCs w:val="18"/>
          <w:color w:val="auto"/>
        </w:rPr>
        <w:t>If you receive more than one set of proxy materials, then your shares of common stock are registered in more than one name or are registered in different accounts. Please complete a proxy for each separate set of proxy materials that you receive to ensure that all of your shares are voted.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are the Board of Directors’ recommendations?</w:t>
      </w:r>
    </w:p>
    <w:p>
      <w:pPr>
        <w:spacing w:after="0" w:line="202" w:lineRule="exact"/>
        <w:rPr>
          <w:sz w:val="20"/>
          <w:szCs w:val="20"/>
          <w:color w:val="auto"/>
        </w:rPr>
      </w:pPr>
    </w:p>
    <w:p>
      <w:pPr>
        <w:ind w:right="200" w:firstLine="551"/>
        <w:spacing w:after="0" w:line="226" w:lineRule="auto"/>
        <w:rPr>
          <w:sz w:val="20"/>
          <w:szCs w:val="20"/>
          <w:color w:val="auto"/>
        </w:rPr>
      </w:pPr>
      <w:r>
        <w:rPr>
          <w:rFonts w:ascii="Times New Roman" w:cs="Times New Roman" w:eastAsia="Times New Roman" w:hAnsi="Times New Roman"/>
          <w:sz w:val="18"/>
          <w:szCs w:val="18"/>
          <w:color w:val="auto"/>
        </w:rPr>
        <w:t>Unless you give other instructions on your proxy, the persons named as proxy holders on the proxy will vote in accordance with the recommendations of the Board of Directors. The Board of Directors’ recommendation is set forth together with the description of each item in this Proxy Statement. In summary, the Board of Directors unanimously recommends a vote:</w:t>
      </w:r>
    </w:p>
    <w:p>
      <w:pPr>
        <w:spacing w:after="0" w:line="171"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election of the four nominees for Class I Directors named herein (see Proposal One);</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advisory vote on the compensation paid to the Company’s named executive officers (see Proposal Two);</w:t>
      </w:r>
    </w:p>
    <w:p>
      <w:pPr>
        <w:spacing w:after="0" w:line="22" w:lineRule="exact"/>
        <w:rPr>
          <w:rFonts w:ascii="Times New Roman" w:cs="Times New Roman" w:eastAsia="Times New Roman" w:hAnsi="Times New Roman"/>
          <w:sz w:val="18"/>
          <w:szCs w:val="18"/>
          <w:color w:val="auto"/>
        </w:rPr>
      </w:pPr>
    </w:p>
    <w:p>
      <w:pPr>
        <w:ind w:left="980" w:right="200" w:hanging="324"/>
        <w:spacing w:after="0" w:line="24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approval of an amendment to the Company’s 2020 Equity Incentive Plan to increase the number of shares of common stock reserved for issuance thereunder by 3,635,000 shares (see Proposal Three) and;</w:t>
      </w:r>
    </w:p>
    <w:p>
      <w:pPr>
        <w:spacing w:after="0" w:line="1" w:lineRule="exact"/>
        <w:rPr>
          <w:rFonts w:ascii="Times New Roman" w:cs="Times New Roman" w:eastAsia="Times New Roman" w:hAnsi="Times New Roman"/>
          <w:sz w:val="18"/>
          <w:szCs w:val="18"/>
          <w:color w:val="auto"/>
        </w:rPr>
      </w:pPr>
    </w:p>
    <w:p>
      <w:pPr>
        <w:ind w:left="980" w:right="140" w:hanging="324"/>
        <w:spacing w:after="0" w:line="234"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ratification of the appointment of Ernst &amp; Young LLP as the Company’s independent registered public accounting firm for the fiscal year ending December 31, 2024 (see Proposal Four).</w:t>
      </w:r>
    </w:p>
    <w:p>
      <w:pPr>
        <w:spacing w:after="0" w:line="172" w:lineRule="exact"/>
        <w:rPr>
          <w:sz w:val="20"/>
          <w:szCs w:val="20"/>
          <w:color w:val="auto"/>
        </w:rPr>
      </w:pPr>
    </w:p>
    <w:p>
      <w:pPr>
        <w:ind w:right="100" w:firstLine="551"/>
        <w:spacing w:after="0" w:line="237" w:lineRule="auto"/>
        <w:rPr>
          <w:sz w:val="20"/>
          <w:szCs w:val="20"/>
          <w:color w:val="auto"/>
        </w:rPr>
      </w:pPr>
      <w:r>
        <w:rPr>
          <w:rFonts w:ascii="Times New Roman" w:cs="Times New Roman" w:eastAsia="Times New Roman" w:hAnsi="Times New Roman"/>
          <w:sz w:val="18"/>
          <w:szCs w:val="18"/>
          <w:color w:val="auto"/>
        </w:rPr>
        <w:t>With respect to any other matter that properly comes before the meeting, the proxy holders will vote as recommended by the Board of Directors or, if no recommendation is given, in their own discretion.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vote is required to approve each item?</w:t>
      </w:r>
    </w:p>
    <w:p>
      <w:pPr>
        <w:spacing w:after="0" w:line="198" w:lineRule="exact"/>
        <w:rPr>
          <w:sz w:val="20"/>
          <w:szCs w:val="20"/>
          <w:color w:val="auto"/>
        </w:rPr>
      </w:pPr>
    </w:p>
    <w:p>
      <w:pPr>
        <w:ind w:firstLine="551"/>
        <w:spacing w:after="0" w:line="221" w:lineRule="auto"/>
        <w:rPr>
          <w:sz w:val="20"/>
          <w:szCs w:val="20"/>
          <w:color w:val="auto"/>
        </w:rPr>
      </w:pPr>
      <w:r>
        <w:rPr>
          <w:rFonts w:ascii="Times New Roman" w:cs="Times New Roman" w:eastAsia="Times New Roman" w:hAnsi="Times New Roman"/>
          <w:sz w:val="18"/>
          <w:szCs w:val="18"/>
          <w:b w:val="1"/>
          <w:bCs w:val="1"/>
          <w:color w:val="auto"/>
        </w:rPr>
        <w:t xml:space="preserve">Election of Directors. </w:t>
      </w:r>
      <w:r>
        <w:rPr>
          <w:rFonts w:ascii="Times New Roman" w:cs="Times New Roman" w:eastAsia="Times New Roman" w:hAnsi="Times New Roman"/>
          <w:sz w:val="18"/>
          <w:szCs w:val="18"/>
          <w:color w:val="auto"/>
        </w:rPr>
        <w:t>The affirmative vote of a plurality of the shares represented in person or by proxy at the Annual Meeting and entitled to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election of directors is required for the election of directors. A properly executed proxy marked “WITHHOLD AUTHORITY” with respect to the election of one or more directors will not be voted with respect to the director or directors indicated, although it will be counted for purposes of determining whether there is a quorum.</w:t>
      </w:r>
    </w:p>
    <w:p>
      <w:pPr>
        <w:spacing w:after="0" w:line="169" w:lineRule="exact"/>
        <w:rPr>
          <w:sz w:val="20"/>
          <w:szCs w:val="20"/>
          <w:color w:val="auto"/>
        </w:rPr>
      </w:pPr>
    </w:p>
    <w:p>
      <w:pPr>
        <w:ind w:right="100" w:firstLine="551"/>
        <w:spacing w:after="0" w:line="230" w:lineRule="auto"/>
        <w:rPr>
          <w:sz w:val="20"/>
          <w:szCs w:val="20"/>
          <w:color w:val="auto"/>
        </w:rPr>
      </w:pPr>
      <w:r>
        <w:rPr>
          <w:rFonts w:ascii="Times New Roman" w:cs="Times New Roman" w:eastAsia="Times New Roman" w:hAnsi="Times New Roman"/>
          <w:sz w:val="17"/>
          <w:szCs w:val="17"/>
          <w:b w:val="1"/>
          <w:bCs w:val="1"/>
          <w:color w:val="auto"/>
        </w:rPr>
        <w:t xml:space="preserve">Other Items. </w:t>
      </w:r>
      <w:r>
        <w:rPr>
          <w:rFonts w:ascii="Times New Roman" w:cs="Times New Roman" w:eastAsia="Times New Roman" w:hAnsi="Times New Roman"/>
          <w:sz w:val="17"/>
          <w:szCs w:val="17"/>
          <w:color w:val="auto"/>
        </w:rPr>
        <w:t>For each other item, the affirmative vote of the holders of a majority of the shares represented in person or by proxy and entitled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vote on the item will be required for approval. A properly executed proxy marked “ABSTAIN” with respect to any such matter will not be voted, although it will be counted for purposes of determining the number of shares represented in person or by proxy at the Annual Meeting. Accordingly, an abstention</w:t>
      </w:r>
    </w:p>
    <w:p>
      <w:pPr>
        <w:spacing w:after="0" w:line="2" w:lineRule="exact"/>
        <w:rPr>
          <w:sz w:val="20"/>
          <w:szCs w:val="20"/>
          <w:color w:val="auto"/>
        </w:rPr>
      </w:pPr>
    </w:p>
    <w:p>
      <w:pPr>
        <w:jc w:val="both"/>
        <w:ind w:right="220"/>
        <w:spacing w:after="0" w:line="220" w:lineRule="auto"/>
        <w:rPr>
          <w:sz w:val="20"/>
          <w:szCs w:val="20"/>
          <w:color w:val="auto"/>
        </w:rPr>
      </w:pPr>
      <w:r>
        <w:rPr>
          <w:rFonts w:ascii="Times New Roman" w:cs="Times New Roman" w:eastAsia="Times New Roman" w:hAnsi="Times New Roman"/>
          <w:sz w:val="17"/>
          <w:szCs w:val="17"/>
          <w:color w:val="auto"/>
        </w:rPr>
        <w:t>will have the effect of a negative vote for each item. If you hold your shares in “street name” through a broker or other nominee, your broker or nominee will not be permitted to exercise voting discretion with respect to each of the matters to be acted upon, other than Proposal Four. Thus, if you do not give your broker or nominee specific instructions, your shares will not be voted on and will not be counted for any other matter to be acted upon, other than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Four. Shares represented by such “broker non-votes” will, however, be counted in determining whether there is a quorum.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counts the votes?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Votes cast by proxy or in person at the Annual Meeting will be tabulated by the Inspector.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can I find out the results of the voting at the Annual Meeting?</w:t>
      </w:r>
    </w:p>
    <w:p>
      <w:pPr>
        <w:spacing w:after="0" w:line="189" w:lineRule="exact"/>
        <w:rPr>
          <w:sz w:val="20"/>
          <w:szCs w:val="20"/>
          <w:color w:val="auto"/>
        </w:rPr>
      </w:pPr>
    </w:p>
    <w:p>
      <w:pPr>
        <w:ind w:right="200" w:firstLine="551"/>
        <w:spacing w:after="0" w:line="236" w:lineRule="auto"/>
        <w:rPr>
          <w:sz w:val="20"/>
          <w:szCs w:val="20"/>
          <w:color w:val="auto"/>
        </w:rPr>
      </w:pPr>
      <w:r>
        <w:rPr>
          <w:rFonts w:ascii="Times New Roman" w:cs="Times New Roman" w:eastAsia="Times New Roman" w:hAnsi="Times New Roman"/>
          <w:sz w:val="17"/>
          <w:szCs w:val="17"/>
          <w:color w:val="auto"/>
        </w:rPr>
        <w:t>Preliminary voting results will be announced at the Annual Meeting. In addition, final voting results will be published in a current report on Form 8-K that we expect to file with the SEC within four business days after the Annual Meeting. If final voting results are not available to us in time to file a</w:t>
      </w:r>
    </w:p>
    <w:p>
      <w:pPr>
        <w:ind w:right="200"/>
        <w:spacing w:after="0" w:line="226" w:lineRule="auto"/>
        <w:rPr>
          <w:sz w:val="20"/>
          <w:szCs w:val="20"/>
          <w:color w:val="auto"/>
        </w:rPr>
      </w:pPr>
      <w:r>
        <w:rPr>
          <w:rFonts w:ascii="Times New Roman" w:cs="Times New Roman" w:eastAsia="Times New Roman" w:hAnsi="Times New Roman"/>
          <w:sz w:val="18"/>
          <w:szCs w:val="18"/>
          <w:color w:val="auto"/>
        </w:rPr>
        <w:t>Form 8-K within four business days after the meeting, we intend to file a Form 8-K to publish preliminary results and, within four business days after the final results are known to us, file an amended Form 8-K to publish the final results.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proxy materials are available on the internet?</w:t>
      </w:r>
    </w:p>
    <w:p>
      <w:pPr>
        <w:spacing w:after="0" w:line="202" w:lineRule="exact"/>
        <w:rPr>
          <w:sz w:val="20"/>
          <w:szCs w:val="20"/>
          <w:color w:val="auto"/>
        </w:rPr>
      </w:pPr>
    </w:p>
    <w:p>
      <w:pPr>
        <w:ind w:right="20" w:firstLine="551"/>
        <w:spacing w:after="0" w:line="263" w:lineRule="auto"/>
        <w:rPr>
          <w:sz w:val="20"/>
          <w:szCs w:val="20"/>
          <w:color w:val="auto"/>
        </w:rPr>
      </w:pPr>
      <w:r>
        <w:rPr>
          <w:rFonts w:ascii="Times New Roman" w:cs="Times New Roman" w:eastAsia="Times New Roman" w:hAnsi="Times New Roman"/>
          <w:sz w:val="17"/>
          <w:szCs w:val="17"/>
          <w:color w:val="auto"/>
        </w:rPr>
        <w:t xml:space="preserve">The Proxy Statement and annual report to stockholders are available under the “Investors” tab on our corporate website at </w:t>
      </w:r>
      <w:r>
        <w:rPr>
          <w:rFonts w:ascii="Times New Roman" w:cs="Times New Roman" w:eastAsia="Times New Roman" w:hAnsi="Times New Roman"/>
          <w:sz w:val="17"/>
          <w:szCs w:val="17"/>
          <w:u w:val="single" w:color="auto"/>
          <w:color w:val="0C75FF"/>
        </w:rPr>
        <w:t>www.neurocrine.com</w:t>
      </w:r>
      <w:r>
        <w:rPr>
          <w:rFonts w:ascii="Times New Roman" w:cs="Times New Roman" w:eastAsia="Times New Roman" w:hAnsi="Times New Roman"/>
          <w:sz w:val="17"/>
          <w:szCs w:val="17"/>
          <w:color w:val="auto"/>
        </w:rPr>
        <w:t xml:space="preserve">, and at </w:t>
      </w:r>
      <w:r>
        <w:rPr>
          <w:rFonts w:ascii="Times New Roman" w:cs="Times New Roman" w:eastAsia="Times New Roman" w:hAnsi="Times New Roman"/>
          <w:sz w:val="17"/>
          <w:szCs w:val="17"/>
          <w:u w:val="single" w:color="auto"/>
          <w:color w:val="0C75FF"/>
        </w:rPr>
        <w:t>www.proxyvote.com</w:t>
      </w:r>
      <w:r>
        <w:rPr>
          <w:rFonts w:ascii="Times New Roman" w:cs="Times New Roman" w:eastAsia="Times New Roman" w:hAnsi="Times New Roman"/>
          <w:sz w:val="17"/>
          <w:szCs w:val="17"/>
          <w:color w:val="auto"/>
        </w:rPr>
        <w:t xml:space="preserve">. However, you can only vote your shares at </w:t>
      </w:r>
      <w:r>
        <w:rPr>
          <w:rFonts w:ascii="Times New Roman" w:cs="Times New Roman" w:eastAsia="Times New Roman" w:hAnsi="Times New Roman"/>
          <w:sz w:val="17"/>
          <w:szCs w:val="17"/>
          <w:u w:val="single" w:color="auto"/>
          <w:color w:val="0C75FF"/>
        </w:rPr>
        <w:t>www.proxyvote.com</w:t>
      </w:r>
      <w:r>
        <w:rPr>
          <w:rFonts w:ascii="Times New Roman" w:cs="Times New Roman" w:eastAsia="Times New Roman" w:hAnsi="Times New Roman"/>
          <w:sz w:val="17"/>
          <w:szCs w:val="17"/>
          <w:color w:val="auto"/>
        </w:rPr>
        <w:t>. Please have the control number on your proxy card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right="40" w:firstLine="551"/>
        <w:spacing w:after="0" w:line="21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our common stock as of March 25, 2024 by (i) each director; (ii) each of the executive officers named in the Summary Compensation Table; (iii) our executive officers and directors as a group; and (iv) all those known by us to be beneficial owners of more than five percent of our common stock. Unless otherwise indicated in the footnotes to this table and subject to community</w:t>
      </w:r>
    </w:p>
    <w:p>
      <w:pPr>
        <w:spacing w:after="0" w:line="1"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property laws where applicable, we believe that each of the stockholders named in this table has sole voting and investment power with respect to the shares indicated as beneficially owned. Applicable percentages are based on 100,580,497 shares of common stock outstanding on March 25, 2024, adjusted as required by rules promulgated by the SEC. The table is based upon information supplied by our executive officers, directors and principal stockholders</w:t>
      </w:r>
    </w:p>
    <w:p>
      <w:pPr>
        <w:spacing w:after="0" w:line="2" w:lineRule="exact"/>
        <w:rPr>
          <w:sz w:val="20"/>
          <w:szCs w:val="20"/>
          <w:color w:val="auto"/>
        </w:rPr>
      </w:pPr>
    </w:p>
    <w:p>
      <w:pPr>
        <w:ind w:right="280"/>
        <w:spacing w:after="0" w:line="226" w:lineRule="auto"/>
        <w:rPr>
          <w:sz w:val="20"/>
          <w:szCs w:val="20"/>
          <w:color w:val="auto"/>
        </w:rPr>
      </w:pPr>
      <w:r>
        <w:rPr>
          <w:rFonts w:ascii="Times New Roman" w:cs="Times New Roman" w:eastAsia="Times New Roman" w:hAnsi="Times New Roman"/>
          <w:sz w:val="18"/>
          <w:szCs w:val="18"/>
          <w:color w:val="auto"/>
        </w:rPr>
        <w:t>and a review of Schedules 13D and 13G, if any, filed with the SEC. Unless otherwise indicated below, the address for each beneficial owner listed is c/o Neurocrine Biosciences, Inc., 12780 El Camino Real, San Diego, CA 92130.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Percent of Common</w:t>
            </w:r>
          </w:p>
        </w:tc>
        <w:tc>
          <w:tcPr>
            <w:tcW w:w="0" w:type="dxa"/>
            <w:vAlign w:val="bottom"/>
          </w:tcPr>
          <w:p>
            <w:pPr>
              <w:spacing w:after="0"/>
              <w:rPr>
                <w:sz w:val="1"/>
                <w:szCs w:val="1"/>
                <w:color w:val="auto"/>
              </w:rPr>
            </w:pPr>
          </w:p>
        </w:tc>
      </w:tr>
      <w:tr>
        <w:trPr>
          <w:trHeight w:val="148"/>
        </w:trPr>
        <w:tc>
          <w:tcPr>
            <w:tcW w:w="7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900" w:type="dxa"/>
            <w:vAlign w:val="bottom"/>
            <w:gridSpan w:val="2"/>
            <w:vMerge w:val="continue"/>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14"/>
        </w:trPr>
        <w:tc>
          <w:tcPr>
            <w:tcW w:w="78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Stockholders Owning Greater than 5%:</w:t>
            </w:r>
          </w:p>
        </w:tc>
        <w:tc>
          <w:tcPr>
            <w:tcW w:w="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BlackRock, Inc. (1)</w:t>
            </w:r>
          </w:p>
        </w:tc>
        <w:tc>
          <w:tcPr>
            <w:tcW w:w="1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13,647,679</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0" w:type="dxa"/>
            <w:vAlign w:val="bottom"/>
          </w:tcPr>
          <w:p>
            <w:pPr>
              <w:spacing w:after="0"/>
              <w:rPr>
                <w:sz w:val="1"/>
                <w:szCs w:val="1"/>
                <w:color w:val="auto"/>
              </w:rPr>
            </w:pPr>
          </w:p>
        </w:tc>
      </w:tr>
      <w:tr>
        <w:trPr>
          <w:trHeight w:val="219"/>
        </w:trPr>
        <w:tc>
          <w:tcPr>
            <w:tcW w:w="7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The Vanguard Group (2)</w:t>
            </w:r>
          </w:p>
        </w:tc>
        <w:tc>
          <w:tcPr>
            <w:tcW w:w="16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9,710,328</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0" w:type="dxa"/>
            <w:vAlign w:val="bottom"/>
          </w:tcPr>
          <w:p>
            <w:pPr>
              <w:spacing w:after="0"/>
              <w:rPr>
                <w:sz w:val="1"/>
                <w:szCs w:val="1"/>
                <w:color w:val="auto"/>
              </w:rPr>
            </w:pPr>
          </w:p>
        </w:tc>
      </w:tr>
      <w:tr>
        <w:trPr>
          <w:trHeight w:val="214"/>
        </w:trPr>
        <w:tc>
          <w:tcPr>
            <w:tcW w:w="79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Directors and Named Executive Officers</w:t>
            </w:r>
            <w:r>
              <w:rPr>
                <w:rFonts w:ascii="Times New Roman" w:cs="Times New Roman" w:eastAsia="Times New Roman" w:hAnsi="Times New Roman"/>
                <w:sz w:val="16"/>
                <w:szCs w:val="16"/>
                <w:b w:val="1"/>
                <w:bCs w:val="1"/>
                <w:u w:val="single" w:color="auto"/>
                <w:color w:val="auto"/>
              </w:rPr>
              <w: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Kevin C. Gorman, Ph.D. (3)</w:t>
            </w:r>
          </w:p>
        </w:tc>
        <w:tc>
          <w:tcPr>
            <w:tcW w:w="16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1,575,454</w:t>
            </w: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13"/>
        </w:trPr>
        <w:tc>
          <w:tcPr>
            <w:tcW w:w="79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Matthew C. Abernethy (4)</w:t>
            </w:r>
          </w:p>
        </w:tc>
        <w:tc>
          <w:tcPr>
            <w:tcW w:w="1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321,147</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Kyle W. Gano, Ph.D. (5)</w:t>
            </w:r>
          </w:p>
        </w:tc>
        <w:tc>
          <w:tcPr>
            <w:tcW w:w="16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577,993</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Jude Onyia, Ph.D. (6)</w:t>
            </w:r>
          </w:p>
        </w:tc>
        <w:tc>
          <w:tcPr>
            <w:tcW w:w="1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114,078</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Eiry W. Roberts, M.D. (7)</w:t>
            </w:r>
          </w:p>
        </w:tc>
        <w:tc>
          <w:tcPr>
            <w:tcW w:w="16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209,162</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William H. Rastetter, Ph.D. (8)</w:t>
            </w:r>
          </w:p>
        </w:tc>
        <w:tc>
          <w:tcPr>
            <w:tcW w:w="1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178,895</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Gary A. Lyons (9)</w:t>
            </w:r>
          </w:p>
        </w:tc>
        <w:tc>
          <w:tcPr>
            <w:tcW w:w="16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225,412</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Johanna Mercier (10)</w:t>
            </w:r>
          </w:p>
        </w:tc>
        <w:tc>
          <w:tcPr>
            <w:tcW w:w="1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42,127</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George J. Morrow (11)</w:t>
            </w:r>
          </w:p>
        </w:tc>
        <w:tc>
          <w:tcPr>
            <w:tcW w:w="16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81,274</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Leslie V. Norwalk (12)</w:t>
            </w:r>
          </w:p>
        </w:tc>
        <w:tc>
          <w:tcPr>
            <w:tcW w:w="1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37,965</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Christine A. Poon (13)</w:t>
            </w:r>
          </w:p>
        </w:tc>
        <w:tc>
          <w:tcPr>
            <w:tcW w:w="16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4,549</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Richard F. Pops (14)</w:t>
            </w:r>
          </w:p>
        </w:tc>
        <w:tc>
          <w:tcPr>
            <w:tcW w:w="1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110,786</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Shalini Sharp (15)</w:t>
            </w:r>
          </w:p>
        </w:tc>
        <w:tc>
          <w:tcPr>
            <w:tcW w:w="16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39,947</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Stephen A. Sherwin, M.D. (16)</w:t>
            </w:r>
          </w:p>
        </w:tc>
        <w:tc>
          <w:tcPr>
            <w:tcW w:w="1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128,579</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All current executive officers and directors as a group (19 persons) (17)</w:t>
            </w:r>
          </w:p>
        </w:tc>
        <w:tc>
          <w:tcPr>
            <w:tcW w:w="16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4,496,606</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Represents beneficial ownership of less than one percent (1%) of the outstanding shares of the Company’s common stock as of March 25, 2024.</w:t>
      </w:r>
    </w:p>
    <w:p>
      <w:pPr>
        <w:spacing w:after="0" w:line="82" w:lineRule="exact"/>
        <w:rPr>
          <w:sz w:val="20"/>
          <w:szCs w:val="20"/>
          <w:color w:val="auto"/>
        </w:rPr>
      </w:pPr>
    </w:p>
    <w:p>
      <w:pPr>
        <w:ind w:left="580" w:right="160" w:hanging="572"/>
        <w:spacing w:after="0" w:line="229" w:lineRule="auto"/>
        <w:tabs>
          <w:tab w:leader="none" w:pos="57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Amendment No. 12 to Schedule 13G filed by BlackRock, Inc. (“BlackRock”) on January 23, 2024, reporting ownership as of December 31, 2023. According to such filing, BlackRock beneficially owns 13,647,679 shares of common stock and sole voting power as to 12,980,857 shares of common stock. Various persons have the right to receive or the power to direct the receipt of dividends from, or the proceeds from the sale of shares of the common stock held by BlackRock. No one person’s interest in the common stock held by BlackRock is more than five percent of the Company’s total outstanding common stock. The principal business address for BlackRock Inc. is listed in such filing as 50 Hudson Yards, New York, NY 10001.</w:t>
      </w:r>
    </w:p>
    <w:p>
      <w:pPr>
        <w:spacing w:after="0" w:line="41" w:lineRule="exact"/>
        <w:rPr>
          <w:rFonts w:ascii="Times New Roman" w:cs="Times New Roman" w:eastAsia="Times New Roman" w:hAnsi="Times New Roman"/>
          <w:sz w:val="14"/>
          <w:szCs w:val="14"/>
          <w:color w:val="auto"/>
        </w:rPr>
      </w:pPr>
    </w:p>
    <w:p>
      <w:pPr>
        <w:ind w:left="580" w:right="60" w:hanging="572"/>
        <w:spacing w:after="0" w:line="229" w:lineRule="auto"/>
        <w:tabs>
          <w:tab w:leader="none" w:pos="57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Amendment No. 8 to Schedule 13G filed by The Vanguard Group, Inc. (“Vanguard Group”) on February 13, 2024, reporting ownership as of December 29, 2023. According to such filing, Vanguard Group beneficially owns 9,710,328 shares of common stock and sole voting power as to 0 shares of common stock. Various persons have the right to receive or the power to direct the receipt of dividends from, or the proceeds from the sale of shares of the common stock held by Vanguard Group. No one other person’s interest in the common stock held by Vanguard Group is more than five percent of the Company’s total outstanding common stock. The principal business address for the Vanguard Group is listed in such filing as 100 Vanguard Blvd., Malvern, PA 19355.</w:t>
      </w:r>
    </w:p>
    <w:p>
      <w:pPr>
        <w:spacing w:after="0" w:line="41" w:lineRule="exact"/>
        <w:rPr>
          <w:rFonts w:ascii="Times New Roman" w:cs="Times New Roman" w:eastAsia="Times New Roman" w:hAnsi="Times New Roman"/>
          <w:sz w:val="14"/>
          <w:szCs w:val="14"/>
          <w:color w:val="auto"/>
        </w:rPr>
      </w:pPr>
    </w:p>
    <w:p>
      <w:pPr>
        <w:ind w:left="580" w:right="100" w:hanging="572"/>
        <w:spacing w:after="0" w:line="241" w:lineRule="auto"/>
        <w:tabs>
          <w:tab w:leader="none" w:pos="57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514,596 shares of common stock, and (b) 1,060,858 shares of common stock issuable pursuant to stock options exercisable within 60 days of March 25, 2024. All of the outstanding shares of common stock are held by The Gorman &amp; Blais Family Trust, of which Dr. Gorman has voting and investment power.</w:t>
      </w:r>
    </w:p>
    <w:p>
      <w:pPr>
        <w:spacing w:after="0" w:line="54" w:lineRule="exact"/>
        <w:rPr>
          <w:rFonts w:ascii="Times New Roman" w:cs="Times New Roman" w:eastAsia="Times New Roman" w:hAnsi="Times New Roman"/>
          <w:sz w:val="14"/>
          <w:szCs w:val="14"/>
          <w:color w:val="auto"/>
        </w:rPr>
      </w:pPr>
    </w:p>
    <w:p>
      <w:pPr>
        <w:ind w:left="560" w:hanging="552"/>
        <w:spacing w:after="0"/>
        <w:tabs>
          <w:tab w:leader="none" w:pos="5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31,528 shares of common stock and (b) 289,619 shares of common stock issuable pursuant to stock options exercisable within 60 days of March 25, 2024.</w:t>
      </w:r>
    </w:p>
    <w:p>
      <w:pPr>
        <w:spacing w:after="0" w:line="68" w:lineRule="exact"/>
        <w:rPr>
          <w:rFonts w:ascii="Times New Roman" w:cs="Times New Roman" w:eastAsia="Times New Roman" w:hAnsi="Times New Roman"/>
          <w:sz w:val="14"/>
          <w:szCs w:val="14"/>
          <w:color w:val="auto"/>
        </w:rPr>
      </w:pPr>
    </w:p>
    <w:p>
      <w:pPr>
        <w:ind w:left="560" w:hanging="552"/>
        <w:spacing w:after="0"/>
        <w:tabs>
          <w:tab w:leader="none" w:pos="5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135,392 shares of common stock and (b) 442,601 shares of common stock issuable pursuant to stock options exercisable within 60 days of March 25, 2024.</w:t>
      </w:r>
    </w:p>
    <w:p>
      <w:pPr>
        <w:spacing w:after="0" w:line="68" w:lineRule="exact"/>
        <w:rPr>
          <w:rFonts w:ascii="Times New Roman" w:cs="Times New Roman" w:eastAsia="Times New Roman" w:hAnsi="Times New Roman"/>
          <w:sz w:val="14"/>
          <w:szCs w:val="14"/>
          <w:color w:val="auto"/>
        </w:rPr>
      </w:pPr>
    </w:p>
    <w:p>
      <w:pPr>
        <w:ind w:left="560" w:hanging="552"/>
        <w:spacing w:after="0"/>
        <w:tabs>
          <w:tab w:leader="none" w:pos="5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13,354 shares of common stock and (b) 100,724 shares of common stock issuable pursuant to stock options exercisable within 60 days of March 25, 2024.</w:t>
      </w:r>
    </w:p>
    <w:p>
      <w:pPr>
        <w:spacing w:after="0" w:line="82" w:lineRule="exact"/>
        <w:rPr>
          <w:rFonts w:ascii="Times New Roman" w:cs="Times New Roman" w:eastAsia="Times New Roman" w:hAnsi="Times New Roman"/>
          <w:sz w:val="14"/>
          <w:szCs w:val="14"/>
          <w:color w:val="auto"/>
        </w:rPr>
      </w:pPr>
    </w:p>
    <w:p>
      <w:pPr>
        <w:ind w:left="580" w:right="100" w:hanging="572"/>
        <w:spacing w:after="0" w:line="241" w:lineRule="auto"/>
        <w:tabs>
          <w:tab w:leader="none" w:pos="57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23,716 shares of common stock and (b) 185,446 shares of common stock issuable pursuant to stock options exercisable within 60 days of March 25, 2024. 22,531 of the outstanding shares of common stock are held by The Stephen Taylor and Eiry W. Roberts Joint Trust Agreement, of which Dr. Eiry has voting and investment power.</w:t>
      </w:r>
    </w:p>
    <w:p>
      <w:pPr>
        <w:spacing w:after="0" w:line="54" w:lineRule="exact"/>
        <w:rPr>
          <w:rFonts w:ascii="Times New Roman" w:cs="Times New Roman" w:eastAsia="Times New Roman" w:hAnsi="Times New Roman"/>
          <w:sz w:val="14"/>
          <w:szCs w:val="14"/>
          <w:color w:val="auto"/>
        </w:rPr>
      </w:pPr>
    </w:p>
    <w:p>
      <w:pPr>
        <w:ind w:left="580" w:right="320" w:hanging="572"/>
        <w:spacing w:after="0" w:line="241" w:lineRule="auto"/>
        <w:tabs>
          <w:tab w:leader="none" w:pos="57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51,741 shares of common stock and (b) 127,154 shares of common stock issuable pursuant to stock options exercisable within 60 days of March 25, 2024. All of the outstanding shares of common stock are held by the Rastetter Family Trust established September 2, 2010, of which Dr. Rastetter has voting and investment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80" w:right="120" w:hanging="572"/>
        <w:spacing w:after="0" w:line="241" w:lineRule="auto"/>
        <w:tabs>
          <w:tab w:leader="none" w:pos="57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116,947 shares of common stock, (b) 106,365 shares of common stock issuable pursuant to stock options exercisable within 60 days of March 25, 2024, and (c) 2,100 shares of common stock issuable pursuant to the vesting of restricted stock units within 60 days of March 25, 2024. 110,964 of the outstanding shares of common stock are held by the Gary A. Lyons Revocable Living Trust U/A 6/8/12, of which Mr. Lyons has voting and investment power.</w:t>
      </w:r>
    </w:p>
    <w:p>
      <w:pPr>
        <w:spacing w:after="0" w:line="41" w:lineRule="exact"/>
        <w:rPr>
          <w:rFonts w:ascii="Times New Roman" w:cs="Times New Roman" w:eastAsia="Times New Roman" w:hAnsi="Times New Roman"/>
          <w:sz w:val="14"/>
          <w:szCs w:val="14"/>
          <w:color w:val="auto"/>
        </w:rPr>
      </w:pPr>
    </w:p>
    <w:p>
      <w:pPr>
        <w:ind w:left="580" w:hanging="572"/>
        <w:spacing w:after="0" w:line="261" w:lineRule="auto"/>
        <w:tabs>
          <w:tab w:leader="none" w:pos="57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40,027 shares of common stock issuable pursuant to stock options exercisable within 60 days of March 25, 2024, and (b) 2,100 shares of common stock issuable pursuant to the vesting of restricted stock units within 60 days of March 25, 2024.</w:t>
      </w:r>
    </w:p>
    <w:p>
      <w:pPr>
        <w:spacing w:after="0" w:line="27" w:lineRule="exact"/>
        <w:rPr>
          <w:rFonts w:ascii="Times New Roman" w:cs="Times New Roman" w:eastAsia="Times New Roman" w:hAnsi="Times New Roman"/>
          <w:sz w:val="14"/>
          <w:szCs w:val="14"/>
          <w:color w:val="auto"/>
        </w:rPr>
      </w:pPr>
    </w:p>
    <w:p>
      <w:pPr>
        <w:ind w:left="580" w:hanging="572"/>
        <w:spacing w:after="0" w:line="241" w:lineRule="auto"/>
        <w:tabs>
          <w:tab w:leader="none" w:pos="571"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77,075 shares of common stock issuable pursuant to stock options exercisable within 60 days of March 25, 2024, and (b) 4,199 shares of common stock issuable pursuant to the vesting of restricted stock units within 60 days of March 25, 2024.</w:t>
      </w:r>
    </w:p>
    <w:p>
      <w:pPr>
        <w:spacing w:after="0" w:line="54" w:lineRule="exact"/>
        <w:rPr>
          <w:rFonts w:ascii="Times New Roman" w:cs="Times New Roman" w:eastAsia="Times New Roman" w:hAnsi="Times New Roman"/>
          <w:sz w:val="14"/>
          <w:szCs w:val="14"/>
          <w:color w:val="auto"/>
        </w:rPr>
      </w:pPr>
    </w:p>
    <w:p>
      <w:pPr>
        <w:ind w:left="580" w:hanging="572"/>
        <w:spacing w:after="0" w:line="241" w:lineRule="auto"/>
        <w:tabs>
          <w:tab w:leader="none" w:pos="57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35,865 shares of common stock issuable pursuant to stock options exercisable within 60 days of March 25, 2024, and (b) 2,100 shares of common stock issuable pursuant to the vesting of restricted stock units within 60 days of March 25, 2024.</w:t>
      </w:r>
    </w:p>
    <w:p>
      <w:pPr>
        <w:spacing w:after="0" w:line="54" w:lineRule="exact"/>
        <w:rPr>
          <w:rFonts w:ascii="Times New Roman" w:cs="Times New Roman" w:eastAsia="Times New Roman" w:hAnsi="Times New Roman"/>
          <w:sz w:val="14"/>
          <w:szCs w:val="14"/>
          <w:color w:val="auto"/>
        </w:rPr>
      </w:pPr>
    </w:p>
    <w:p>
      <w:pPr>
        <w:ind w:left="580" w:hanging="572"/>
        <w:spacing w:after="0"/>
        <w:tabs>
          <w:tab w:leader="none" w:pos="5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4,549 shares of common stock issuable pursuant to stock options exercisable within 60 days of March 25, 2024.</w:t>
      </w:r>
    </w:p>
    <w:p>
      <w:pPr>
        <w:spacing w:after="0" w:line="68" w:lineRule="exact"/>
        <w:rPr>
          <w:rFonts w:ascii="Times New Roman" w:cs="Times New Roman" w:eastAsia="Times New Roman" w:hAnsi="Times New Roman"/>
          <w:sz w:val="14"/>
          <w:szCs w:val="14"/>
          <w:color w:val="auto"/>
        </w:rPr>
      </w:pPr>
    </w:p>
    <w:p>
      <w:pPr>
        <w:ind w:left="580" w:right="360" w:hanging="572"/>
        <w:spacing w:after="0" w:line="261" w:lineRule="auto"/>
        <w:tabs>
          <w:tab w:leader="none" w:pos="57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29,512 shares of common stock, (b) 77,075 shares of common stock issuable pursuant to stock options exercisable within 60 days of March 25, 2024, and (c) 4,199 shares of common stock issuable pursuant to the vesting of restricted stock units within 60 days of March 25, 2024.</w:t>
      </w:r>
    </w:p>
    <w:p>
      <w:pPr>
        <w:spacing w:after="0" w:line="27" w:lineRule="exact"/>
        <w:rPr>
          <w:rFonts w:ascii="Times New Roman" w:cs="Times New Roman" w:eastAsia="Times New Roman" w:hAnsi="Times New Roman"/>
          <w:sz w:val="14"/>
          <w:szCs w:val="14"/>
          <w:color w:val="auto"/>
        </w:rPr>
      </w:pPr>
    </w:p>
    <w:p>
      <w:pPr>
        <w:ind w:left="580" w:hanging="572"/>
        <w:spacing w:after="0" w:line="261" w:lineRule="auto"/>
        <w:tabs>
          <w:tab w:leader="none" w:pos="57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37,847 shares of common stock issuable pursuant to stock options exercisable within 60 days of March 25, 2024, and (b) 2,100 shares of common stock issuable pursuant to the vesting of restricted stock units within 60 days of March 25, 2024.</w:t>
      </w:r>
    </w:p>
    <w:p>
      <w:pPr>
        <w:spacing w:after="0" w:line="27" w:lineRule="exact"/>
        <w:rPr>
          <w:rFonts w:ascii="Times New Roman" w:cs="Times New Roman" w:eastAsia="Times New Roman" w:hAnsi="Times New Roman"/>
          <w:sz w:val="14"/>
          <w:szCs w:val="14"/>
          <w:color w:val="auto"/>
        </w:rPr>
      </w:pPr>
    </w:p>
    <w:p>
      <w:pPr>
        <w:ind w:left="580" w:right="280" w:hanging="572"/>
        <w:spacing w:after="0" w:line="261" w:lineRule="auto"/>
        <w:tabs>
          <w:tab w:leader="none" w:pos="57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22,305 shares of common stock, (b) 102,075 shares of common stock issuable pursuant to stock options exercisable within 60 days of March 25, 2024, and (c) 4,199 shares of common stock issuable pursuant to the vesting of restricted stock units within 60 days of March 25, 2024.</w:t>
      </w:r>
    </w:p>
    <w:p>
      <w:pPr>
        <w:spacing w:after="0" w:line="27" w:lineRule="exact"/>
        <w:rPr>
          <w:rFonts w:ascii="Times New Roman" w:cs="Times New Roman" w:eastAsia="Times New Roman" w:hAnsi="Times New Roman"/>
          <w:sz w:val="14"/>
          <w:szCs w:val="14"/>
          <w:color w:val="auto"/>
        </w:rPr>
      </w:pPr>
    </w:p>
    <w:p>
      <w:pPr>
        <w:ind w:left="580" w:right="60" w:hanging="572"/>
        <w:spacing w:after="0" w:line="234" w:lineRule="auto"/>
        <w:tabs>
          <w:tab w:leader="none" w:pos="57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1,127,090 shares of common stock held by our current directors and executive officers, (b) 3,425,269 shares of common stock issuable pursuant to stock options held by our current directors and executive officers that are exercisable within 60 days of March 25, 2024, and (c) 20,997 shares of common stock issuable pursuant to the vesting of restricted stock units within 60 days of March 25,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OUR BOARD OF DIRECTORS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jc w:val="both"/>
        <w:ind w:right="180" w:firstLine="551"/>
        <w:spacing w:after="0" w:line="236" w:lineRule="auto"/>
        <w:rPr>
          <w:sz w:val="20"/>
          <w:szCs w:val="20"/>
          <w:color w:val="auto"/>
        </w:rPr>
      </w:pPr>
      <w:r>
        <w:rPr>
          <w:rFonts w:ascii="Times New Roman" w:cs="Times New Roman" w:eastAsia="Times New Roman" w:hAnsi="Times New Roman"/>
          <w:sz w:val="17"/>
          <w:szCs w:val="17"/>
          <w:color w:val="auto"/>
        </w:rPr>
        <w:t>The Company’s bylaws, as amended and restated, provide that the Board of Directors is comprised of ten directors. The Company’s Certificate of Incorporation provides that the Board of Directors is divided into three classes. There are currently four directors in Class I (William H. Rastetter, Ph.D.,</w:t>
      </w:r>
    </w:p>
    <w:p>
      <w:pPr>
        <w:ind w:right="20"/>
        <w:spacing w:after="0" w:line="208" w:lineRule="auto"/>
        <w:rPr>
          <w:sz w:val="20"/>
          <w:szCs w:val="20"/>
          <w:color w:val="auto"/>
        </w:rPr>
      </w:pPr>
      <w:r>
        <w:rPr>
          <w:rFonts w:ascii="Times New Roman" w:cs="Times New Roman" w:eastAsia="Times New Roman" w:hAnsi="Times New Roman"/>
          <w:sz w:val="18"/>
          <w:szCs w:val="18"/>
          <w:color w:val="auto"/>
        </w:rPr>
        <w:t>George J. Morrow, Leslie V. Norwalk, and Christine A. Poon), three directors in Class II (Richard F. Pops, Shalini Sharp, and Stephen A. Sherwin, M.D.), and three directors in Class III (Kevin C. Gorman, Ph.D., Gary A. Lyons, and Johanna Mercier). With the exception of Kevin C. Gorman, Ph.D., who is the Chief Executive Officer of the Company, all current members of the Board of Directors meet the definition of “independent director” under the Nasdaq</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Market qualification standards.</w:t>
      </w:r>
    </w:p>
    <w:p>
      <w:pPr>
        <w:spacing w:after="0" w:line="165" w:lineRule="exact"/>
        <w:rPr>
          <w:sz w:val="20"/>
          <w:szCs w:val="20"/>
          <w:color w:val="auto"/>
        </w:rPr>
      </w:pPr>
    </w:p>
    <w:p>
      <w:pPr>
        <w:ind w:right="500" w:firstLine="551"/>
        <w:spacing w:after="0" w:line="236" w:lineRule="auto"/>
        <w:rPr>
          <w:sz w:val="20"/>
          <w:szCs w:val="20"/>
          <w:color w:val="auto"/>
        </w:rPr>
      </w:pPr>
      <w:r>
        <w:rPr>
          <w:rFonts w:ascii="Times New Roman" w:cs="Times New Roman" w:eastAsia="Times New Roman" w:hAnsi="Times New Roman"/>
          <w:sz w:val="17"/>
          <w:szCs w:val="17"/>
          <w:color w:val="auto"/>
        </w:rPr>
        <w:t>The directors in Class I hold office until the 2024 Annual Meeting of Stockholders, the directors in Class II hold office until the 2025 Annual Meeting of Stockholders, and the directors in Class III hold office until the 2026 Annual Meeting of Stockholders (or, in each case, until their earlier</w:t>
      </w:r>
    </w:p>
    <w:p>
      <w:pPr>
        <w:jc w:val="both"/>
        <w:ind w:right="120"/>
        <w:spacing w:after="0" w:line="218" w:lineRule="auto"/>
        <w:rPr>
          <w:sz w:val="20"/>
          <w:szCs w:val="20"/>
          <w:color w:val="auto"/>
        </w:rPr>
      </w:pPr>
      <w:r>
        <w:rPr>
          <w:rFonts w:ascii="Times New Roman" w:cs="Times New Roman" w:eastAsia="Times New Roman" w:hAnsi="Times New Roman"/>
          <w:sz w:val="18"/>
          <w:szCs w:val="18"/>
          <w:color w:val="auto"/>
        </w:rPr>
        <w:t>resignation, removal from office, or death). After each such election, the directors in each such case will then serve in succeeding terms of three years and until a successor is duly elected and qualified. Officers of the Company serve at the discretion of the Board of Directors. There are no family relationships among the Company’s directors and executive officers.</w:t>
      </w:r>
    </w:p>
    <w:p>
      <w:pPr>
        <w:spacing w:after="0" w:line="172" w:lineRule="exact"/>
        <w:rPr>
          <w:sz w:val="20"/>
          <w:szCs w:val="20"/>
          <w:color w:val="auto"/>
        </w:rPr>
      </w:pPr>
    </w:p>
    <w:p>
      <w:pPr>
        <w:ind w:right="240" w:firstLine="551"/>
        <w:spacing w:after="0" w:line="237" w:lineRule="auto"/>
        <w:rPr>
          <w:sz w:val="20"/>
          <w:szCs w:val="20"/>
          <w:color w:val="auto"/>
        </w:rPr>
      </w:pPr>
      <w:r>
        <w:rPr>
          <w:rFonts w:ascii="Times New Roman" w:cs="Times New Roman" w:eastAsia="Times New Roman" w:hAnsi="Times New Roman"/>
          <w:sz w:val="18"/>
          <w:szCs w:val="18"/>
          <w:color w:val="auto"/>
        </w:rPr>
        <w:t>The term of office for directors William H. Rastetter, Ph.D., George J. Morrow, Leslie V. Norwalk, and Christine A. Poon will expire at the 2024 Annual Meeting of Stockholders.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Biographies of Class I Directors Nominated for Reelection at the 2024 Annual Meeting of Stockholders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William H. Rastetter, Ph.D. </w:t>
      </w:r>
      <w:r>
        <w:rPr>
          <w:rFonts w:ascii="Times New Roman" w:cs="Times New Roman" w:eastAsia="Times New Roman" w:hAnsi="Times New Roman"/>
          <w:sz w:val="18"/>
          <w:szCs w:val="18"/>
          <w:color w:val="auto"/>
        </w:rPr>
        <w:t>has served on the Board of Directors since February 2010 and as Chairman of the Board of Directors since May 2011.</w:t>
      </w:r>
    </w:p>
    <w:p>
      <w:pPr>
        <w:spacing w:after="0" w:line="6"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Currently, he serves as the Chairman of the Board of Directors for Fate Therapeutics, a publicly traded company focused on cellular therapies, as well as for Daré Bioscience, Inc. (previously known as Cerulean Pharma Inc.), a publicly traded company focused on women’s healthcare. Dr. Rastetter also serves on the Board of Directors for Regulus Therapeutics Inc., a publicly traded company focused on RNA-based therapeutics, and on the Board of Directors of</w:t>
      </w:r>
    </w:p>
    <w:p>
      <w:pPr>
        <w:spacing w:after="0" w:line="2"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Iambic, Inc., a private company using artificial intelligence and laboratory automation to design and develop medicinal chemicals initially for oncology indications. Dr. Rastetter previously served on the board of Grail, Inc., a private company developing deep sequencing approaches for disease diagnosis, with an initial focus on the early diagnosis of cancer. Dr. Rastetter serves as an advisor to Illumina Ventures, and is the Chairman of San Diego Squared, a</w:t>
      </w:r>
    </w:p>
    <w:p>
      <w:pPr>
        <w:spacing w:after="0" w:line="2" w:lineRule="exact"/>
        <w:rPr>
          <w:sz w:val="20"/>
          <w:szCs w:val="20"/>
          <w:color w:val="auto"/>
        </w:rPr>
      </w:pPr>
    </w:p>
    <w:p>
      <w:pPr>
        <w:ind w:right="300"/>
        <w:spacing w:after="0" w:line="220" w:lineRule="auto"/>
        <w:rPr>
          <w:sz w:val="20"/>
          <w:szCs w:val="20"/>
          <w:color w:val="auto"/>
        </w:rPr>
      </w:pPr>
      <w:r>
        <w:rPr>
          <w:rFonts w:ascii="Times New Roman" w:cs="Times New Roman" w:eastAsia="Times New Roman" w:hAnsi="Times New Roman"/>
          <w:sz w:val="17"/>
          <w:szCs w:val="17"/>
          <w:color w:val="auto"/>
        </w:rPr>
        <w:t>nonprofit focused on STEM awareness and education for students in underserved communities. Dr. Rastetter was a partner in the venture capital firm, Venrock, from 2006 through early 2013 and was Executive Chairman of Biogen Idec, Inc. from 2003 to 2005. Earlier, he served as Chairman and Chief Executive Officer of IDEC Pharmaceuticals Corporation until its merger with Biogen Inc. in 2003; he joined IDEC Corporation as its Chief Executive</w:t>
      </w:r>
    </w:p>
    <w:p>
      <w:pPr>
        <w:spacing w:after="0" w:line="2" w:lineRule="exact"/>
        <w:rPr>
          <w:sz w:val="20"/>
          <w:szCs w:val="20"/>
          <w:color w:val="auto"/>
        </w:rPr>
      </w:pPr>
    </w:p>
    <w:p>
      <w:pPr>
        <w:jc w:val="both"/>
        <w:ind w:right="140"/>
        <w:spacing w:after="0" w:line="231" w:lineRule="auto"/>
        <w:rPr>
          <w:sz w:val="20"/>
          <w:szCs w:val="20"/>
          <w:color w:val="auto"/>
        </w:rPr>
      </w:pPr>
      <w:r>
        <w:rPr>
          <w:rFonts w:ascii="Times New Roman" w:cs="Times New Roman" w:eastAsia="Times New Roman" w:hAnsi="Times New Roman"/>
          <w:sz w:val="17"/>
          <w:szCs w:val="17"/>
          <w:color w:val="auto"/>
        </w:rPr>
        <w:t>Officer at the company’s founding in 1986. From 1984 to 1986, Dr. Rastetter was Director of Corporate Ventures at Genentech, where from 1982 to 1984 he held scientific positions. He held a series of faculty positions including Associate Professor at the Massachusetts Institute of Technology (“MIT”) from 1975 to 1982. Dr. Rastetter has an S.B. degree in Chemistry from MIT and received M.A. and doctorate degrees in Chemistry from Harvard University.</w:t>
      </w:r>
    </w:p>
    <w:p>
      <w:pPr>
        <w:spacing w:after="0" w:line="172" w:lineRule="exact"/>
        <w:rPr>
          <w:sz w:val="20"/>
          <w:szCs w:val="20"/>
          <w:color w:val="auto"/>
        </w:rPr>
      </w:pPr>
    </w:p>
    <w:p>
      <w:pPr>
        <w:ind w:right="100" w:firstLine="551"/>
        <w:spacing w:after="0" w:line="216" w:lineRule="auto"/>
        <w:rPr>
          <w:sz w:val="20"/>
          <w:szCs w:val="20"/>
          <w:color w:val="auto"/>
        </w:rPr>
      </w:pPr>
      <w:r>
        <w:rPr>
          <w:rFonts w:ascii="Times New Roman" w:cs="Times New Roman" w:eastAsia="Times New Roman" w:hAnsi="Times New Roman"/>
          <w:sz w:val="18"/>
          <w:szCs w:val="18"/>
          <w:color w:val="auto"/>
        </w:rPr>
        <w:t>The continued service of Dr. Rastetter on the Company’s Board of Directors is based on Dr. Rastetter’s scientific and technical expertise combined with his business experience in leading rapidly growing companies in the life sciences industry. The Company’s continued growth is dependent on scientific and technical advances, and the Board of Directors believes that Dr. Rastetter offers both strategic and technical insight into the risks and</w:t>
      </w:r>
    </w:p>
    <w:p>
      <w:pPr>
        <w:spacing w:after="0" w:line="1"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opportunities associated with our business. In addition, Dr. Rastetter’s board and executive leadership experience at other life sciences companies provides valuable strategic and governance insight to the Board of Directors as a whole.</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George J. Morrow </w:t>
      </w:r>
      <w:r>
        <w:rPr>
          <w:rFonts w:ascii="Times New Roman" w:cs="Times New Roman" w:eastAsia="Times New Roman" w:hAnsi="Times New Roman"/>
          <w:sz w:val="18"/>
          <w:szCs w:val="18"/>
          <w:color w:val="auto"/>
        </w:rPr>
        <w:t>has served on the Board of Directors since October 2015. Mr. Morrow served as Executive Vice President, Global Commercial</w:t>
      </w:r>
    </w:p>
    <w:p>
      <w:pPr>
        <w:spacing w:after="0" w:line="6"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7"/>
          <w:szCs w:val="17"/>
          <w:color w:val="auto"/>
        </w:rPr>
        <w:t>Operations at Amgen Inc., a global biotechnology company, from 2003 until his retirement in 2011. He joined Amgen in 2001 as Executive Vice President, Worldwide Sales and Marketing. His responsibilities included oversight of all commercial functions for Amgen’s broad spectrum of products in more than 50 countries worldwide, and the introduction of multiple new products into global markets. From 1992 to 2001, Mr. Morrow held executive management</w:t>
      </w:r>
    </w:p>
    <w:p>
      <w:pPr>
        <w:spacing w:after="0" w:line="2" w:lineRule="exact"/>
        <w:rPr>
          <w:sz w:val="20"/>
          <w:szCs w:val="20"/>
          <w:color w:val="auto"/>
        </w:rPr>
      </w:pPr>
    </w:p>
    <w:p>
      <w:pPr>
        <w:ind w:right="100"/>
        <w:spacing w:after="0" w:line="220" w:lineRule="auto"/>
        <w:rPr>
          <w:sz w:val="20"/>
          <w:szCs w:val="20"/>
          <w:color w:val="auto"/>
        </w:rPr>
      </w:pPr>
      <w:r>
        <w:rPr>
          <w:rFonts w:ascii="Times New Roman" w:cs="Times New Roman" w:eastAsia="Times New Roman" w:hAnsi="Times New Roman"/>
          <w:sz w:val="17"/>
          <w:szCs w:val="17"/>
          <w:color w:val="auto"/>
        </w:rPr>
        <w:t>and commercial positions within several subsidiaries of Glaxo Wellcome, including Group Vice President for Commercial Operations (U.S.), Managing Director (U.K.), and most recently as President and Chief Executive Officer of Glaxo Wellcome, Inc. (U.S.). Mr. Morrow currently serves on the Board of Directors of Align Technology, Inc., a publicly traded global medical device company. He has previously served on the boards of Vical, Inc., Otonomy,</w:t>
      </w:r>
    </w:p>
    <w:p>
      <w:pPr>
        <w:spacing w:after="0" w:line="2" w:lineRule="exact"/>
        <w:rPr>
          <w:sz w:val="20"/>
          <w:szCs w:val="20"/>
          <w:color w:val="auto"/>
        </w:rPr>
      </w:pPr>
    </w:p>
    <w:p>
      <w:pPr>
        <w:ind w:right="200"/>
        <w:spacing w:after="0" w:line="218" w:lineRule="auto"/>
        <w:rPr>
          <w:sz w:val="20"/>
          <w:szCs w:val="20"/>
          <w:color w:val="auto"/>
        </w:rPr>
      </w:pPr>
      <w:r>
        <w:rPr>
          <w:rFonts w:ascii="Times New Roman" w:cs="Times New Roman" w:eastAsia="Times New Roman" w:hAnsi="Times New Roman"/>
          <w:sz w:val="18"/>
          <w:szCs w:val="18"/>
          <w:color w:val="auto"/>
        </w:rPr>
        <w:t>Inc., Glaxo Wellcome, Inc., Human Genome Sciences, Inc., Safeway, Inc., National Commerce Bank, the John Hopkins School of Public Health, and the Duke University Fuqua School of Business. Mr. Morrow holds a B.S. in Chemistry from Southampton College, Long Island University, an M.S. in Biochemistry from Bryn Mawr College and an M.B.A. from Duke University.</w:t>
      </w:r>
    </w:p>
    <w:p>
      <w:pPr>
        <w:spacing w:after="0" w:line="172" w:lineRule="exact"/>
        <w:rPr>
          <w:sz w:val="20"/>
          <w:szCs w:val="20"/>
          <w:color w:val="auto"/>
        </w:rPr>
      </w:pPr>
    </w:p>
    <w:p>
      <w:pPr>
        <w:ind w:right="120" w:firstLine="551"/>
        <w:spacing w:after="0" w:line="229" w:lineRule="auto"/>
        <w:rPr>
          <w:sz w:val="20"/>
          <w:szCs w:val="20"/>
          <w:color w:val="auto"/>
        </w:rPr>
      </w:pPr>
      <w:r>
        <w:rPr>
          <w:rFonts w:ascii="Times New Roman" w:cs="Times New Roman" w:eastAsia="Times New Roman" w:hAnsi="Times New Roman"/>
          <w:sz w:val="17"/>
          <w:szCs w:val="17"/>
          <w:color w:val="auto"/>
        </w:rPr>
        <w:t>The continued service of Mr. Morrow on the Company’s Board of Directors is based on his extensive commercialization experience at Amgen, his broad executive experience at GlaxoSmithKline Inc., and his years of experience in corporate governance as a board member of several publicly traded companies. Mr. Morrow’s board experience, leadership experience and commercialization expertise prove valuable strategic insights to the Board of</w:t>
      </w:r>
    </w:p>
    <w:p>
      <w:pPr>
        <w:spacing w:after="0"/>
        <w:rPr>
          <w:sz w:val="20"/>
          <w:szCs w:val="20"/>
          <w:color w:val="auto"/>
        </w:rPr>
      </w:pPr>
      <w:r>
        <w:rPr>
          <w:rFonts w:ascii="Times New Roman" w:cs="Times New Roman" w:eastAsia="Times New Roman" w:hAnsi="Times New Roman"/>
          <w:sz w:val="18"/>
          <w:szCs w:val="18"/>
          <w:color w:val="auto"/>
        </w:rPr>
        <w:t>Directors.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Leslie V. Norwalk </w:t>
      </w:r>
      <w:r>
        <w:rPr>
          <w:rFonts w:ascii="Times New Roman" w:cs="Times New Roman" w:eastAsia="Times New Roman" w:hAnsi="Times New Roman"/>
          <w:sz w:val="18"/>
          <w:szCs w:val="18"/>
          <w:color w:val="auto"/>
        </w:rPr>
        <w:t>has served on the Board of Directors since September 2019. Since 2007, Ms. Norwalk has served as Strategic Counsel to</w:t>
      </w:r>
    </w:p>
    <w:p>
      <w:pPr>
        <w:spacing w:after="0" w:line="6" w:lineRule="exact"/>
        <w:rPr>
          <w:sz w:val="20"/>
          <w:szCs w:val="20"/>
          <w:color w:val="auto"/>
        </w:rPr>
      </w:pPr>
    </w:p>
    <w:p>
      <w:pPr>
        <w:ind w:right="220"/>
        <w:spacing w:after="0" w:line="220" w:lineRule="auto"/>
        <w:rPr>
          <w:sz w:val="20"/>
          <w:szCs w:val="20"/>
          <w:color w:val="auto"/>
        </w:rPr>
      </w:pPr>
      <w:r>
        <w:rPr>
          <w:rFonts w:ascii="Times New Roman" w:cs="Times New Roman" w:eastAsia="Times New Roman" w:hAnsi="Times New Roman"/>
          <w:sz w:val="17"/>
          <w:szCs w:val="17"/>
          <w:color w:val="auto"/>
        </w:rPr>
        <w:t>healthcare companies at Epstein Becker Green, EBG Advisors, and National Health Advisors. Ms. Norwalk advises several private equity firms on healthcare matters. She serves as a director of Globus Medical, Inc., Modivcare Inc., and Arvinas, Inc., all publicly traded companies, as well as several privately held healthcare companies. Ms. Norwalk previously served on the Board of Directors of Centene, Endologix, Magellan Health, NuVasive, Inc.,</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prior to its acquisition by Globus Medical, and Press Ganey. Ms. Norwalk began her career in the public sector in The White House Office of Presidential Personnel under the first Bush administration, following which, she practiced law at the Washington, D.C. office of Epstein Becker Green, P.C. From 2001 to 2007, she served in several roles at the Centers for Medicare &amp; Medicaid Services (CMS) under the George W. Bush administration, including serving as</w:t>
      </w:r>
    </w:p>
    <w:p>
      <w:pPr>
        <w:spacing w:after="0" w:line="2" w:lineRule="exact"/>
        <w:rPr>
          <w:sz w:val="20"/>
          <w:szCs w:val="20"/>
          <w:color w:val="auto"/>
        </w:rPr>
      </w:pPr>
    </w:p>
    <w:p>
      <w:pPr>
        <w:ind w:right="280"/>
        <w:spacing w:after="0" w:line="226" w:lineRule="auto"/>
        <w:rPr>
          <w:sz w:val="20"/>
          <w:szCs w:val="20"/>
          <w:color w:val="auto"/>
        </w:rPr>
      </w:pPr>
      <w:r>
        <w:rPr>
          <w:rFonts w:ascii="Times New Roman" w:cs="Times New Roman" w:eastAsia="Times New Roman" w:hAnsi="Times New Roman"/>
          <w:sz w:val="18"/>
          <w:szCs w:val="18"/>
          <w:color w:val="auto"/>
        </w:rPr>
        <w:t>Deputy Administrator, and Counselor and Policy Advisor, before assuming the role of Acting Administrator. Ms. Norwalk holds a J.D. from the George Mason University School of Law and a B.A. in Economics and International Relations from Wellesley College.</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continued service of Ms. Norwalk to the Company’s Board of Directors is based on her deep knowledge of, and experience with, the healthcare</w:t>
      </w:r>
    </w:p>
    <w:p>
      <w:pPr>
        <w:spacing w:after="0" w:line="14"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industry and government regulations, as well as corporate governance and risk management. Such knowledge and experience provides valuable guidance and insight to the Board of Directors.</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Christine A. Poon </w:t>
      </w:r>
      <w:r>
        <w:rPr>
          <w:rFonts w:ascii="Times New Roman" w:cs="Times New Roman" w:eastAsia="Times New Roman" w:hAnsi="Times New Roman"/>
          <w:sz w:val="18"/>
          <w:szCs w:val="18"/>
          <w:color w:val="auto"/>
        </w:rPr>
        <w:t>has served on the Board of Directors since July 2023. Ms. Poon is the former Executive-in-Residence in the Department of</w:t>
      </w:r>
    </w:p>
    <w:p>
      <w:pPr>
        <w:spacing w:after="0" w:line="6"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7"/>
          <w:szCs w:val="17"/>
          <w:color w:val="auto"/>
        </w:rPr>
        <w:t>Management and Human Resources at the Max M. Fisher College of Business at The Ohio State University, where she served as Dean and the John W. Berry, Sr. Chair in Business from 2009 to 2014. She served as Vice Chairman and Member of the Board of Directors of Johnson &amp; Johnson from 2005 until her retirement in March 2009. Ms. Poon joined Johnson &amp; Johnson in 2000 as Company Group Chair in the Pharmaceuticals Group. She became a member of Johnson &amp; Johnson’s Executive Committee and Worldwide Chair, Pharmaceuticals Group, in 2001, and served as Worldwide Chair, Medicines and</w:t>
      </w:r>
    </w:p>
    <w:p>
      <w:pPr>
        <w:spacing w:after="0" w:line="2" w:lineRule="exact"/>
        <w:rPr>
          <w:sz w:val="20"/>
          <w:szCs w:val="20"/>
          <w:color w:val="auto"/>
        </w:rPr>
      </w:pPr>
    </w:p>
    <w:p>
      <w:pPr>
        <w:jc w:val="both"/>
        <w:ind w:right="260"/>
        <w:spacing w:after="0" w:line="220" w:lineRule="auto"/>
        <w:rPr>
          <w:sz w:val="20"/>
          <w:szCs w:val="20"/>
          <w:color w:val="auto"/>
        </w:rPr>
      </w:pPr>
      <w:r>
        <w:rPr>
          <w:rFonts w:ascii="Times New Roman" w:cs="Times New Roman" w:eastAsia="Times New Roman" w:hAnsi="Times New Roman"/>
          <w:sz w:val="17"/>
          <w:szCs w:val="17"/>
          <w:color w:val="auto"/>
        </w:rPr>
        <w:t>Nutritionals, from 2003 to 2005. Prior to joining Johnson &amp; Johnson, she spent 15 years at Bristol-Myers Squibb in various management positions. Ms. Poon was also a Vice Chair of the Supervisory Board of Royal Philips Electronics and a member of the Board of Directors of Decibel Therapeutics, Inc. She currently serves on the Board of Directors of Prudential Financial, Inc., Regeneron Pharmaceuticals, Inc., where she currently serves as the lead</w:t>
      </w:r>
    </w:p>
    <w:p>
      <w:pPr>
        <w:spacing w:after="0" w:line="2"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8"/>
          <w:szCs w:val="18"/>
          <w:color w:val="auto"/>
        </w:rPr>
        <w:t>independent director, and The Sherwin-Williams Company. Ms. Poon was named Woman of the Year by the Healthcare Businesswomen’s Association in 2004 and named Business Leader of the Future by CNBC/Wall Street Journal in 2005.</w:t>
      </w:r>
    </w:p>
    <w:p>
      <w:pPr>
        <w:spacing w:after="0" w:line="157" w:lineRule="exact"/>
        <w:rPr>
          <w:sz w:val="20"/>
          <w:szCs w:val="20"/>
          <w:color w:val="auto"/>
        </w:rPr>
      </w:pPr>
    </w:p>
    <w:p>
      <w:pPr>
        <w:ind w:right="280" w:firstLine="551"/>
        <w:spacing w:after="0" w:line="250" w:lineRule="auto"/>
        <w:rPr>
          <w:sz w:val="20"/>
          <w:szCs w:val="20"/>
          <w:color w:val="auto"/>
        </w:rPr>
      </w:pPr>
      <w:r>
        <w:rPr>
          <w:rFonts w:ascii="Times New Roman" w:cs="Times New Roman" w:eastAsia="Times New Roman" w:hAnsi="Times New Roman"/>
          <w:sz w:val="18"/>
          <w:szCs w:val="18"/>
          <w:color w:val="auto"/>
        </w:rPr>
        <w:t>The continued service of Ms. Poon on the Company’s Board of Directors is based on her expertise in U.S. and international business operations, including extensive experience in capital allocation, and her strategic and operational knowledge of the pharmaceutical industry.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Biographies of Class II and Class III Directors not Nominated for Reelection at the 2024 Annual Meeting of Stockholders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Kevin C. Gorman, Ph.D. </w:t>
      </w:r>
      <w:r>
        <w:rPr>
          <w:rFonts w:ascii="Times New Roman" w:cs="Times New Roman" w:eastAsia="Times New Roman" w:hAnsi="Times New Roman"/>
          <w:sz w:val="18"/>
          <w:szCs w:val="18"/>
          <w:color w:val="auto"/>
        </w:rPr>
        <w:t>has been employed with the Company since 1993. He was appointed President and Chief Executive Officer in January</w:t>
      </w:r>
    </w:p>
    <w:p>
      <w:pPr>
        <w:spacing w:after="0" w:line="6" w:lineRule="exact"/>
        <w:rPr>
          <w:sz w:val="20"/>
          <w:szCs w:val="20"/>
          <w:color w:val="auto"/>
        </w:rPr>
      </w:pPr>
    </w:p>
    <w:p>
      <w:pPr>
        <w:jc w:val="both"/>
        <w:ind w:right="40"/>
        <w:spacing w:after="0" w:line="208" w:lineRule="auto"/>
        <w:rPr>
          <w:sz w:val="20"/>
          <w:szCs w:val="20"/>
          <w:color w:val="auto"/>
        </w:rPr>
      </w:pPr>
      <w:r>
        <w:rPr>
          <w:rFonts w:ascii="Times New Roman" w:cs="Times New Roman" w:eastAsia="Times New Roman" w:hAnsi="Times New Roman"/>
          <w:sz w:val="18"/>
          <w:szCs w:val="18"/>
          <w:color w:val="auto"/>
        </w:rPr>
        <w:t>2008 after having served as Executive Vice President and Chief Operating Officer since September 2006 and prior to that, as Executive Vice President and Chief Business Officer and Senior Vice President of Business Development. He currently serves as Chief Executive Officer and has served on the Board of Directors since January 2008. Dr. Gorman currently serves as a director of Xencor, Inc. a publicly traded clinical-stage biopharmaceutical company.</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Additionally, he serves on the Board of Directors of the Biotechnology Innovation Organization (BIO) and the Pharmaceutical Research and Manufacturers of America (PhRMA). From 1990 until 1993, Dr. Gorman was a principal of Avalon Medical Partners, L.P. where he was responsible for the early stage founding of the company and several other biotechnology companies such as Onyx Pharmaceuticals, Inc., Metra Biosystems, Inc., Idun Pharmaceuticals,</w:t>
      </w:r>
    </w:p>
    <w:p>
      <w:pPr>
        <w:spacing w:after="0" w:line="2" w:lineRule="exact"/>
        <w:rPr>
          <w:sz w:val="20"/>
          <w:szCs w:val="20"/>
          <w:color w:val="auto"/>
        </w:rPr>
      </w:pPr>
    </w:p>
    <w:p>
      <w:pPr>
        <w:ind w:right="840"/>
        <w:spacing w:after="0" w:line="226" w:lineRule="auto"/>
        <w:rPr>
          <w:sz w:val="20"/>
          <w:szCs w:val="20"/>
          <w:color w:val="auto"/>
        </w:rPr>
      </w:pPr>
      <w:r>
        <w:rPr>
          <w:rFonts w:ascii="Times New Roman" w:cs="Times New Roman" w:eastAsia="Times New Roman" w:hAnsi="Times New Roman"/>
          <w:sz w:val="18"/>
          <w:szCs w:val="18"/>
          <w:color w:val="auto"/>
        </w:rPr>
        <w:t>Inc. and ARIAD Pharmaceuticals, Inc. Dr. Gorman received his Ph.D. in immunology and M.B.A. in Finance from the University of California, Los Angeles and did further post-doctoral training at The Rockefeller University.</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continued service of Dr. Gorman on the Company’s Board of Directors is based on the fact that as Chief Executive Officer of the Company,</w:t>
      </w:r>
    </w:p>
    <w:p>
      <w:pPr>
        <w:spacing w:after="0" w:line="205" w:lineRule="auto"/>
        <w:rPr>
          <w:sz w:val="20"/>
          <w:szCs w:val="20"/>
          <w:color w:val="auto"/>
        </w:rPr>
      </w:pPr>
      <w:r>
        <w:rPr>
          <w:rFonts w:ascii="Times New Roman" w:cs="Times New Roman" w:eastAsia="Times New Roman" w:hAnsi="Times New Roman"/>
          <w:sz w:val="18"/>
          <w:szCs w:val="18"/>
          <w:color w:val="auto"/>
        </w:rPr>
        <w:t>Dr. Gorman has extensive knowledge of our commercial products and our product candidates, our employees and the industry in which we operate.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Gorman has also demonstrated exceptional leadership skills, sound business judgment and a strong commitment to the Company.</w:t>
      </w:r>
    </w:p>
    <w:p>
      <w:pPr>
        <w:spacing w:after="0" w:line="1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Gary A. Lyons </w:t>
      </w:r>
      <w:r>
        <w:rPr>
          <w:rFonts w:ascii="Times New Roman" w:cs="Times New Roman" w:eastAsia="Times New Roman" w:hAnsi="Times New Roman"/>
          <w:sz w:val="18"/>
          <w:szCs w:val="18"/>
          <w:color w:val="auto"/>
        </w:rPr>
        <w:t>has served on the Board of Directors since joining Neurocrine Biosciences in February 1993. Mr. Lyons served as the President and</w:t>
      </w:r>
    </w:p>
    <w:p>
      <w:pPr>
        <w:spacing w:after="0" w:line="6" w:lineRule="exact"/>
        <w:rPr>
          <w:sz w:val="20"/>
          <w:szCs w:val="20"/>
          <w:color w:val="auto"/>
        </w:rPr>
      </w:pPr>
    </w:p>
    <w:p>
      <w:pPr>
        <w:ind w:right="100"/>
        <w:spacing w:after="0" w:line="220" w:lineRule="auto"/>
        <w:rPr>
          <w:sz w:val="20"/>
          <w:szCs w:val="20"/>
          <w:color w:val="auto"/>
        </w:rPr>
      </w:pPr>
      <w:r>
        <w:rPr>
          <w:rFonts w:ascii="Times New Roman" w:cs="Times New Roman" w:eastAsia="Times New Roman" w:hAnsi="Times New Roman"/>
          <w:sz w:val="17"/>
          <w:szCs w:val="17"/>
          <w:color w:val="auto"/>
        </w:rPr>
        <w:t>Chief Executive Officer of the Company from February 1993 through January 2008. Prior to joining the Company, Mr. Lyons held a number of senior management positions at Genentech, Inc., including Vice President of Business Development and Vice President of Sales. Mr. Lyons is currently the Chairman of the Board of Directors of Travere Therapeutics, a publicly traded ultra-orphan disease commercial-stage company, and serves as a director of</w:t>
      </w:r>
    </w:p>
    <w:p>
      <w:pPr>
        <w:spacing w:after="0" w:line="2" w:lineRule="exact"/>
        <w:rPr>
          <w:sz w:val="20"/>
          <w:szCs w:val="20"/>
          <w:color w:val="auto"/>
        </w:rPr>
      </w:pPr>
    </w:p>
    <w:p>
      <w:pPr>
        <w:jc w:val="both"/>
        <w:ind w:right="300"/>
        <w:spacing w:after="0" w:line="220" w:lineRule="auto"/>
        <w:rPr>
          <w:sz w:val="20"/>
          <w:szCs w:val="20"/>
          <w:color w:val="auto"/>
        </w:rPr>
      </w:pPr>
      <w:r>
        <w:rPr>
          <w:rFonts w:ascii="Times New Roman" w:cs="Times New Roman" w:eastAsia="Times New Roman" w:hAnsi="Times New Roman"/>
          <w:sz w:val="17"/>
          <w:szCs w:val="17"/>
          <w:color w:val="auto"/>
        </w:rPr>
        <w:t>Rigel Pharmaceuticals, Inc., a publicly traded biotechnology company focused on developing drugs for the treatment of inflammatory/autoimmune and metabolic diseases. Mr. Lyons previously served on the Board of Directors of Fresh Tracks Therapeutics, Inc. (formerly Brickell Biotech, Inc.), Eledon Pharmaceuticals, Inc. (formerly Novus Therapeutics), and Facet Biotech Corporation. Mr. Lyons holds a B.S. in Marine Biology from the University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Hampshire and an M.B.A. from Northwestern University’s J.L. Kellogg Graduate School of Management.</w:t>
      </w:r>
    </w:p>
    <w:p>
      <w:pPr>
        <w:spacing w:after="0" w:line="165" w:lineRule="exact"/>
        <w:rPr>
          <w:sz w:val="20"/>
          <w:szCs w:val="20"/>
          <w:color w:val="auto"/>
        </w:rPr>
      </w:pPr>
    </w:p>
    <w:p>
      <w:pPr>
        <w:ind w:right="280" w:firstLine="551"/>
        <w:spacing w:after="0" w:line="236" w:lineRule="auto"/>
        <w:rPr>
          <w:sz w:val="20"/>
          <w:szCs w:val="20"/>
          <w:color w:val="auto"/>
        </w:rPr>
      </w:pPr>
      <w:r>
        <w:rPr>
          <w:rFonts w:ascii="Times New Roman" w:cs="Times New Roman" w:eastAsia="Times New Roman" w:hAnsi="Times New Roman"/>
          <w:sz w:val="17"/>
          <w:szCs w:val="17"/>
          <w:color w:val="auto"/>
        </w:rPr>
        <w:t>The continued service of Mr. Lyons on the Company’s Board of Directors is based on Mr. Lyons’ extensive business development and corporate governance experience and, as the Company’s former Chief Executive Officer, his in-depth understanding of the Company’s strategic plans, business</w:t>
      </w:r>
    </w:p>
    <w:p>
      <w:pPr>
        <w:ind w:right="60"/>
        <w:spacing w:after="0" w:line="226" w:lineRule="auto"/>
        <w:rPr>
          <w:sz w:val="20"/>
          <w:szCs w:val="20"/>
          <w:color w:val="auto"/>
        </w:rPr>
      </w:pPr>
      <w:r>
        <w:rPr>
          <w:rFonts w:ascii="Times New Roman" w:cs="Times New Roman" w:eastAsia="Times New Roman" w:hAnsi="Times New Roman"/>
          <w:sz w:val="18"/>
          <w:szCs w:val="18"/>
          <w:color w:val="auto"/>
        </w:rPr>
        <w:t>operations, management and culture. With this history with the Company and management, Mr. Lyons brings a unique perspective and point of view to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20" w:firstLine="551"/>
        <w:spacing w:after="0" w:line="230"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Johanna Mercier </w:t>
      </w:r>
      <w:r>
        <w:rPr>
          <w:rFonts w:ascii="Times New Roman" w:cs="Times New Roman" w:eastAsia="Times New Roman" w:hAnsi="Times New Roman"/>
          <w:sz w:val="17"/>
          <w:szCs w:val="17"/>
          <w:color w:val="auto"/>
        </w:rPr>
        <w:t>has served on the Board of Directors since April 2021. Ms. Mercier is the Chief Commercial Officer of Gilead Sciences,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responsibility for the global commercialization of Gilead’s medicines across virology, liver and oncology franchises. Ms. Mercier is actively engaged with the policy and advocacy community to ensure affordability and access to the company’s medicines in both the developed and resource-limited countries.</w:t>
      </w:r>
    </w:p>
    <w:p>
      <w:pPr>
        <w:spacing w:after="0" w:line="2" w:lineRule="exact"/>
        <w:rPr>
          <w:sz w:val="20"/>
          <w:szCs w:val="20"/>
          <w:color w:val="auto"/>
        </w:rPr>
      </w:pPr>
    </w:p>
    <w:p>
      <w:pPr>
        <w:jc w:val="both"/>
        <w:ind w:right="280"/>
        <w:spacing w:after="0" w:line="220" w:lineRule="auto"/>
        <w:rPr>
          <w:sz w:val="20"/>
          <w:szCs w:val="20"/>
          <w:color w:val="auto"/>
        </w:rPr>
      </w:pPr>
      <w:r>
        <w:rPr>
          <w:rFonts w:ascii="Times New Roman" w:cs="Times New Roman" w:eastAsia="Times New Roman" w:hAnsi="Times New Roman"/>
          <w:sz w:val="17"/>
          <w:szCs w:val="17"/>
          <w:color w:val="auto"/>
        </w:rPr>
        <w:t>She is a staunch advocate for diversity and inclusion and is the executive sponsor for the Women@Gilead employee resource group. Ms. Mercier joined Gilead in 2019 after 25 years at Bristol Myers Squibb, where she served in a number of executive leadership positions, gaining broad experience across geographies and in all aspects of the commercial business. Ms. Mercier holds a B.S. in Biology from the University of Montreal and an M.B.A. from</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Concordia University. She currently serves on the Board of Directors of Arcus Biosciences, Inc., a publicly traded company, and the University of Southern California’s Leonard D. Schaeffer Center for Health Policy and Economics. Ms. Mercier is also a member of World 50.</w:t>
      </w:r>
    </w:p>
    <w:p>
      <w:pPr>
        <w:spacing w:after="0" w:line="130" w:lineRule="exact"/>
        <w:rPr>
          <w:sz w:val="20"/>
          <w:szCs w:val="20"/>
          <w:color w:val="auto"/>
        </w:rPr>
      </w:pPr>
    </w:p>
    <w:p>
      <w:pPr>
        <w:ind w:right="200" w:firstLine="551"/>
        <w:spacing w:after="0" w:line="226" w:lineRule="auto"/>
        <w:rPr>
          <w:sz w:val="20"/>
          <w:szCs w:val="20"/>
          <w:color w:val="auto"/>
        </w:rPr>
      </w:pPr>
      <w:r>
        <w:rPr>
          <w:rFonts w:ascii="Times New Roman" w:cs="Times New Roman" w:eastAsia="Times New Roman" w:hAnsi="Times New Roman"/>
          <w:sz w:val="18"/>
          <w:szCs w:val="18"/>
          <w:color w:val="auto"/>
        </w:rPr>
        <w:t>The continued service of Ms. Mercier on the Company’s Board of Directors is based on Ms. Mercier’s extensive commercialization experience at both Gilead Sciences and Bristol Myers Squibb, as well as her executive leadership experience across geographies and in all aspects of the commercial business.</w:t>
      </w:r>
    </w:p>
    <w:p>
      <w:pPr>
        <w:spacing w:after="0" w:line="127" w:lineRule="exact"/>
        <w:rPr>
          <w:sz w:val="20"/>
          <w:szCs w:val="20"/>
          <w:color w:val="auto"/>
        </w:rPr>
      </w:pPr>
    </w:p>
    <w:p>
      <w:pPr>
        <w:ind w:right="20" w:firstLine="648"/>
        <w:spacing w:after="0" w:line="230" w:lineRule="auto"/>
        <w:rPr>
          <w:sz w:val="20"/>
          <w:szCs w:val="20"/>
          <w:color w:val="auto"/>
        </w:rPr>
      </w:pPr>
      <w:r>
        <w:rPr>
          <w:rFonts w:ascii="Times New Roman" w:cs="Times New Roman" w:eastAsia="Times New Roman" w:hAnsi="Times New Roman"/>
          <w:sz w:val="17"/>
          <w:szCs w:val="17"/>
          <w:b w:val="1"/>
          <w:bCs w:val="1"/>
          <w:i w:val="1"/>
          <w:iCs w:val="1"/>
          <w:color w:val="auto"/>
        </w:rPr>
        <w:t xml:space="preserve">Richard F. Pops </w:t>
      </w:r>
      <w:r>
        <w:rPr>
          <w:rFonts w:ascii="Times New Roman" w:cs="Times New Roman" w:eastAsia="Times New Roman" w:hAnsi="Times New Roman"/>
          <w:sz w:val="17"/>
          <w:szCs w:val="17"/>
          <w:color w:val="auto"/>
        </w:rPr>
        <w:t>has served on the Board of Directors since April 1998. Mr. Pops is the Chairman and Chief Executive Officer of Alkermes Public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Limited Company. He joined Alkermes as Chief Executive Officer in February 1991. Under his leadership, Alkermes has grown from a privately held research-based company with 25 employees to an international, publicly traded pharmaceutical company with more than 2,000 employees. In addition to</w:t>
      </w:r>
    </w:p>
    <w:p>
      <w:pPr>
        <w:spacing w:after="0" w:line="2" w:lineRule="exact"/>
        <w:rPr>
          <w:sz w:val="20"/>
          <w:szCs w:val="20"/>
          <w:color w:val="auto"/>
        </w:rPr>
      </w:pPr>
    </w:p>
    <w:p>
      <w:pPr>
        <w:jc w:val="both"/>
        <w:ind w:right="560"/>
        <w:spacing w:after="0" w:line="218" w:lineRule="auto"/>
        <w:rPr>
          <w:sz w:val="20"/>
          <w:szCs w:val="20"/>
          <w:color w:val="auto"/>
        </w:rPr>
      </w:pPr>
      <w:r>
        <w:rPr>
          <w:rFonts w:ascii="Times New Roman" w:cs="Times New Roman" w:eastAsia="Times New Roman" w:hAnsi="Times New Roman"/>
          <w:sz w:val="18"/>
          <w:szCs w:val="18"/>
          <w:color w:val="auto"/>
        </w:rPr>
        <w:t>Alkermes, he currently serves on the Board of Directors of the Biotechnology Innovation Organization (BIO) and the Pharmaceutical Research and Manufacturers of America (PhRMA). Previously, Mr. Pops served on the Board of Directors of Epizyme, Inc., a biotechnology company focused on epigenetics, and Acceleron Pharma, Inc., a biopharmaceutical company. He holds a B.A. in Economics from Stanford University.</w:t>
      </w:r>
    </w:p>
    <w:p>
      <w:pPr>
        <w:spacing w:after="0" w:line="12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The continued service of Mr. Pops to the Company’s Board of Directors is based on his leadership experience and track record for growing</w:t>
      </w:r>
    </w:p>
    <w:p>
      <w:pPr>
        <w:jc w:val="center"/>
        <w:ind w:right="120"/>
        <w:spacing w:after="0" w:line="232" w:lineRule="auto"/>
        <w:rPr>
          <w:sz w:val="20"/>
          <w:szCs w:val="20"/>
          <w:color w:val="auto"/>
        </w:rPr>
      </w:pPr>
      <w:r>
        <w:rPr>
          <w:rFonts w:ascii="Times New Roman" w:cs="Times New Roman" w:eastAsia="Times New Roman" w:hAnsi="Times New Roman"/>
          <w:sz w:val="17"/>
          <w:szCs w:val="17"/>
          <w:color w:val="auto"/>
        </w:rPr>
        <w:t>companies, his strength in business strategy and his financial acumen and capital markets experience. In addition, Mr. Pops is recognized for his service to</w:t>
      </w:r>
    </w:p>
    <w:p>
      <w:pPr>
        <w:ind w:right="740"/>
        <w:spacing w:after="0" w:line="218" w:lineRule="auto"/>
        <w:rPr>
          <w:sz w:val="20"/>
          <w:szCs w:val="20"/>
          <w:color w:val="auto"/>
        </w:rPr>
      </w:pPr>
      <w:r>
        <w:rPr>
          <w:rFonts w:ascii="Times New Roman" w:cs="Times New Roman" w:eastAsia="Times New Roman" w:hAnsi="Times New Roman"/>
          <w:sz w:val="18"/>
          <w:szCs w:val="18"/>
          <w:color w:val="auto"/>
        </w:rPr>
        <w:t>the biopharmaceutical industry as a member of the Boards of the Biotechnology Innovation Organization and the Pharmaceutical Research and Manufacturers of America. His breadth and range of industry experience from operations and strategy is a significant contribution to the Board of Directors.</w:t>
      </w:r>
    </w:p>
    <w:p>
      <w:pPr>
        <w:spacing w:after="0" w:line="127" w:lineRule="exact"/>
        <w:rPr>
          <w:sz w:val="20"/>
          <w:szCs w:val="20"/>
          <w:color w:val="auto"/>
        </w:rPr>
      </w:pPr>
    </w:p>
    <w:p>
      <w:pPr>
        <w:ind w:right="220" w:firstLine="551"/>
        <w:spacing w:after="0" w:line="238" w:lineRule="auto"/>
        <w:rPr>
          <w:sz w:val="20"/>
          <w:szCs w:val="20"/>
          <w:color w:val="auto"/>
        </w:rPr>
      </w:pPr>
      <w:r>
        <w:rPr>
          <w:rFonts w:ascii="Times New Roman" w:cs="Times New Roman" w:eastAsia="Times New Roman" w:hAnsi="Times New Roman"/>
          <w:sz w:val="17"/>
          <w:szCs w:val="17"/>
          <w:b w:val="1"/>
          <w:bCs w:val="1"/>
          <w:i w:val="1"/>
          <w:iCs w:val="1"/>
          <w:color w:val="auto"/>
        </w:rPr>
        <w:t xml:space="preserve">Shalini Sharp </w:t>
      </w:r>
      <w:r>
        <w:rPr>
          <w:rFonts w:ascii="Times New Roman" w:cs="Times New Roman" w:eastAsia="Times New Roman" w:hAnsi="Times New Roman"/>
          <w:sz w:val="17"/>
          <w:szCs w:val="17"/>
          <w:color w:val="auto"/>
        </w:rPr>
        <w:t>has served on the Board of Directors since February 2020. She also serves on the Board of Directors of Organon &amp; Co., a publicly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traded healthcare company focused on improving the health of women throughout their lives. Previously, Ms. Sharp served on the Board of Directors of</w:t>
      </w:r>
    </w:p>
    <w:p>
      <w:pPr>
        <w:spacing w:after="0" w:line="1"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Mirati Therapeutics, prior to its acquisition by Bristol-Myers Squibb Company, Sutro Biopharma, Inc., Panacea Acquisition Corp., prior to its merger with Nuvation Bio, Precision BioSciences, Inc., TB Alliance, Array Biopharma, prior to its acquisition by Pfizer, and Agenus Inc. Ms. Sharp has held the positions of Chief Financial Officer and Executive Vice President at Ultragenyx, a biopharmaceutical company committed to bringing to patients novel</w:t>
      </w:r>
    </w:p>
    <w:p>
      <w:pPr>
        <w:spacing w:after="0" w:line="2" w:lineRule="exact"/>
        <w:rPr>
          <w:sz w:val="20"/>
          <w:szCs w:val="20"/>
          <w:color w:val="auto"/>
        </w:rPr>
      </w:pPr>
    </w:p>
    <w:p>
      <w:pPr>
        <w:ind w:right="180"/>
        <w:spacing w:after="0" w:line="220" w:lineRule="auto"/>
        <w:rPr>
          <w:sz w:val="20"/>
          <w:szCs w:val="20"/>
          <w:color w:val="auto"/>
        </w:rPr>
      </w:pPr>
      <w:r>
        <w:rPr>
          <w:rFonts w:ascii="Times New Roman" w:cs="Times New Roman" w:eastAsia="Times New Roman" w:hAnsi="Times New Roman"/>
          <w:sz w:val="17"/>
          <w:szCs w:val="17"/>
          <w:color w:val="auto"/>
        </w:rPr>
        <w:t>products for the treatment of serious rare and ultra-rare genetic diseases, and Chief Financial Officer at Agenus Inc., a clinical-stage immuno-oncology company focused on the discovery and development of therapies that engage the body’s immune system to fight cancer. Ms. Sharp previously served in strategic planning and as Chief of Staff to the Chairman of the Board of Directors of Elan Pharmaceuticals, and as a management consultant at McKinsey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&amp; Company as well as an investment banker at Goldman Sachs. She holds a B.A. and an M.B.A. from Harvard University.</w:t>
      </w:r>
    </w:p>
    <w:p>
      <w:pPr>
        <w:spacing w:after="0" w:line="124" w:lineRule="exact"/>
        <w:rPr>
          <w:sz w:val="20"/>
          <w:szCs w:val="20"/>
          <w:color w:val="auto"/>
        </w:rPr>
      </w:pPr>
    </w:p>
    <w:p>
      <w:pPr>
        <w:ind w:right="380" w:firstLine="551"/>
        <w:spacing w:after="0" w:line="250" w:lineRule="auto"/>
        <w:rPr>
          <w:sz w:val="20"/>
          <w:szCs w:val="20"/>
          <w:color w:val="auto"/>
        </w:rPr>
      </w:pPr>
      <w:r>
        <w:rPr>
          <w:rFonts w:ascii="Times New Roman" w:cs="Times New Roman" w:eastAsia="Times New Roman" w:hAnsi="Times New Roman"/>
          <w:sz w:val="18"/>
          <w:szCs w:val="18"/>
          <w:color w:val="auto"/>
        </w:rPr>
        <w:t>The continued service of Ms. Sharp to the Company’s Board of Directors is based on her extensive experience as a Chief Financial Officer of a public company, her financial acumen, and her management and leadership skills.</w:t>
      </w:r>
    </w:p>
    <w:p>
      <w:pPr>
        <w:spacing w:after="0" w:line="1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Stephen A. Sherwin, M.D. </w:t>
      </w:r>
      <w:r>
        <w:rPr>
          <w:rFonts w:ascii="Times New Roman" w:cs="Times New Roman" w:eastAsia="Times New Roman" w:hAnsi="Times New Roman"/>
          <w:sz w:val="18"/>
          <w:szCs w:val="18"/>
          <w:color w:val="auto"/>
        </w:rPr>
        <w:t>has served on the Board of Directors since April 1999. Dr. Sherwin currently divides his time between advisory work in</w:t>
      </w:r>
    </w:p>
    <w:p>
      <w:pPr>
        <w:spacing w:after="0" w:line="6"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the life sciences industry and patient care and teaching in his specialty of medical oncology. He is a Clinical Professor of Medicine at the University of California, San Francisco, and a volunteer Attending Physician in Hematology-Oncology at the Zuckerberg San Francisco General Hospital. Dr. Sherwin currently serves on the Board of Directors of Biogen Inc., a publicly traded company. He is an Advisory Partner with Third Rock Ventures and a member of</w:t>
      </w:r>
    </w:p>
    <w:p>
      <w:pPr>
        <w:spacing w:after="0" w:line="2"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the Scientific Steering Committee of the Parker Institute for Cancer Immunotherapy. Previously, Dr. Sherwin was Chairman and Chief Executive Officer of Cell Genesys, a cancer immunotherapy company, from 1990 until the company’s merger in 2009 with BioSante Pharmaceuticals (now ANI Pharmaceuticals). He was also a Co-founder and Chairman of Abgenix, an antibody company which was acquired by Amgen in 2006, and co-founder and</w:t>
      </w:r>
    </w:p>
    <w:p>
      <w:pPr>
        <w:spacing w:after="0" w:line="2" w:lineRule="exact"/>
        <w:rPr>
          <w:sz w:val="20"/>
          <w:szCs w:val="20"/>
          <w:color w:val="auto"/>
        </w:rPr>
      </w:pPr>
    </w:p>
    <w:p>
      <w:pPr>
        <w:jc w:val="both"/>
        <w:ind w:right="480"/>
        <w:spacing w:after="0" w:line="220" w:lineRule="auto"/>
        <w:rPr>
          <w:sz w:val="20"/>
          <w:szCs w:val="20"/>
          <w:color w:val="auto"/>
        </w:rPr>
      </w:pPr>
      <w:r>
        <w:rPr>
          <w:rFonts w:ascii="Times New Roman" w:cs="Times New Roman" w:eastAsia="Times New Roman" w:hAnsi="Times New Roman"/>
          <w:sz w:val="17"/>
          <w:szCs w:val="17"/>
          <w:color w:val="auto"/>
        </w:rPr>
        <w:t>Chairman of Ceregene, a gene therapy company which was acquired by Sangamo Biosciences in 2013. From 1983 to 1990, Dr. Sherwin held various positions in clinical research at Genentech, most recently that of Vice President. Prior to 1983, he was on the staff of the National Cancer Institute. In addition, Dr. Sherwin previously served on the Board of Directors of Aduro Biotech, BioPlus Acquisition Corporation, Neon Therapeutics, and Rigel</w:t>
      </w:r>
    </w:p>
    <w:p>
      <w:pPr>
        <w:spacing w:after="0" w:line="2" w:lineRule="exact"/>
        <w:rPr>
          <w:sz w:val="20"/>
          <w:szCs w:val="20"/>
          <w:color w:val="auto"/>
        </w:rPr>
      </w:pPr>
    </w:p>
    <w:p>
      <w:pPr>
        <w:ind w:right="200"/>
        <w:spacing w:after="0" w:line="203" w:lineRule="auto"/>
        <w:rPr>
          <w:sz w:val="20"/>
          <w:szCs w:val="20"/>
          <w:color w:val="auto"/>
        </w:rPr>
      </w:pPr>
      <w:r>
        <w:rPr>
          <w:rFonts w:ascii="Times New Roman" w:cs="Times New Roman" w:eastAsia="Times New Roman" w:hAnsi="Times New Roman"/>
          <w:sz w:val="18"/>
          <w:szCs w:val="18"/>
          <w:color w:val="auto"/>
        </w:rPr>
        <w:t>Pharmaceuticals, Inc., as well as the Biotechnology Innovation Organization (BIO) from 2001 to 2014 and as its Chairman from 2009 to 2011, and was a member of the President’s Council of Advisors in Science and Technology (PCAST) Working Group on Drug Development from 2011 to 2013.</w:t>
      </w:r>
    </w:p>
    <w:p>
      <w:pPr>
        <w:spacing w:after="0" w:line="1" w:lineRule="exact"/>
        <w:rPr>
          <w:sz w:val="20"/>
          <w:szCs w:val="20"/>
          <w:color w:val="auto"/>
        </w:rPr>
      </w:pPr>
    </w:p>
    <w:p>
      <w:pPr>
        <w:ind w:right="380"/>
        <w:spacing w:after="0" w:line="233" w:lineRule="auto"/>
        <w:rPr>
          <w:sz w:val="20"/>
          <w:szCs w:val="20"/>
          <w:color w:val="auto"/>
        </w:rPr>
      </w:pPr>
      <w:r>
        <w:rPr>
          <w:rFonts w:ascii="Times New Roman" w:cs="Times New Roman" w:eastAsia="Times New Roman" w:hAnsi="Times New Roman"/>
          <w:sz w:val="18"/>
          <w:szCs w:val="18"/>
          <w:color w:val="auto"/>
        </w:rPr>
        <w:t>Dr. Sherwin holds a B.A. in biology, summa cum laude, from Yale University and an M.D. from Harvard Medical School, is board-certified in internal medicine and medical oncology, and is a Fellow of the American College of Physicians.</w:t>
      </w:r>
    </w:p>
    <w:p>
      <w:pPr>
        <w:spacing w:after="0" w:line="11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continued service of Dr. Sherwin for election to the Company’s Board of Directors is based on his experience and credentials in the</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biotechnology industry as the former Chief Executive Officer of Cell Genesys, Inc., the former Chairman and co-founder of Abgenix, Inc., the Chairman and co-founder of Ceregene, Inc., and his positions at Genentech, Inc. and the National Cancer Institute. Dr. Sherwin is also currently Chairman Emeritus of the Biotechnology Innovation Organization (BIO). In addition to his biotechnology credentials, Dr. Sherwin’s medical expertise in internal medicine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medical oncology provides a unique contribution to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BOARD OF DIRECTORS AND CORPORATE GOVERNANCE MATTERS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7" w:lineRule="exact"/>
        <w:rPr>
          <w:sz w:val="20"/>
          <w:szCs w:val="20"/>
          <w:color w:val="auto"/>
        </w:rPr>
      </w:pPr>
    </w:p>
    <w:p>
      <w:pPr>
        <w:ind w:right="100" w:firstLine="551"/>
        <w:spacing w:after="0" w:line="224" w:lineRule="auto"/>
        <w:rPr>
          <w:sz w:val="20"/>
          <w:szCs w:val="20"/>
          <w:color w:val="auto"/>
        </w:rPr>
      </w:pPr>
      <w:r>
        <w:rPr>
          <w:rFonts w:ascii="Times New Roman" w:cs="Times New Roman" w:eastAsia="Times New Roman" w:hAnsi="Times New Roman"/>
          <w:sz w:val="18"/>
          <w:szCs w:val="18"/>
          <w:i w:val="1"/>
          <w:iCs w:val="1"/>
          <w:color w:val="auto"/>
        </w:rPr>
        <w:t>We have long believed that good corporate governance is important to ensure that Neurocrine Biosciences is managed for the long-term benefit of its stockholders. We periodically review our corporate governance policies and practices. The Board of Directors has adopted Corporate Governance</w:t>
      </w:r>
    </w:p>
    <w:p>
      <w:pPr>
        <w:ind w:right="120"/>
        <w:spacing w:after="0" w:line="226" w:lineRule="auto"/>
        <w:rPr>
          <w:sz w:val="20"/>
          <w:szCs w:val="20"/>
          <w:color w:val="auto"/>
        </w:rPr>
      </w:pPr>
      <w:r>
        <w:rPr>
          <w:rFonts w:ascii="Times New Roman" w:cs="Times New Roman" w:eastAsia="Times New Roman" w:hAnsi="Times New Roman"/>
          <w:sz w:val="18"/>
          <w:szCs w:val="18"/>
          <w:i w:val="1"/>
          <w:iCs w:val="1"/>
          <w:color w:val="auto"/>
        </w:rPr>
        <w:t xml:space="preserve">Guidelines which describe our corporate governance practices and address corporate governance issues such as Board composition, responsibilities and director qualifications. These guidelines are available at </w:t>
      </w:r>
      <w:r>
        <w:rPr>
          <w:rFonts w:ascii="Times New Roman" w:cs="Times New Roman" w:eastAsia="Times New Roman" w:hAnsi="Times New Roman"/>
          <w:sz w:val="18"/>
          <w:szCs w:val="18"/>
          <w:i w:val="1"/>
          <w:iCs w:val="1"/>
          <w:u w:val="single" w:color="auto"/>
          <w:color w:val="0C75FF"/>
        </w:rPr>
        <w:t>www.neurocrine.com</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Best Practices</w:t>
      </w:r>
    </w:p>
    <w:p>
      <w:pPr>
        <w:spacing w:after="0" w:line="202" w:lineRule="exact"/>
        <w:rPr>
          <w:sz w:val="20"/>
          <w:szCs w:val="20"/>
          <w:color w:val="auto"/>
        </w:rPr>
      </w:pPr>
    </w:p>
    <w:p>
      <w:pPr>
        <w:ind w:right="80" w:firstLine="551"/>
        <w:spacing w:after="0" w:line="229" w:lineRule="auto"/>
        <w:rPr>
          <w:sz w:val="20"/>
          <w:szCs w:val="20"/>
          <w:color w:val="auto"/>
        </w:rPr>
      </w:pPr>
      <w:r>
        <w:rPr>
          <w:rFonts w:ascii="Times New Roman" w:cs="Times New Roman" w:eastAsia="Times New Roman" w:hAnsi="Times New Roman"/>
          <w:sz w:val="17"/>
          <w:szCs w:val="17"/>
          <w:color w:val="auto"/>
        </w:rPr>
        <w:t>We are committed to maintaining strong corporate governance practices that promote the long-term interests of the Company and our stockholders and help strengthen the oversight functions of our management and Board of Directors. Additional information about our corporate governance policies and practices, including our committee charters, Corporate Governance Guidelines, Code of Business Conduct and Ethics, Comprehensive Compliance</w:t>
      </w:r>
    </w:p>
    <w:p>
      <w:pPr>
        <w:spacing w:after="0" w:line="220" w:lineRule="auto"/>
        <w:rPr>
          <w:sz w:val="20"/>
          <w:szCs w:val="20"/>
          <w:color w:val="auto"/>
        </w:rPr>
      </w:pPr>
      <w:r>
        <w:rPr>
          <w:rFonts w:ascii="Times New Roman" w:cs="Times New Roman" w:eastAsia="Times New Roman" w:hAnsi="Times New Roman"/>
          <w:sz w:val="17"/>
          <w:szCs w:val="17"/>
          <w:color w:val="auto"/>
        </w:rPr>
        <w:t xml:space="preserve">Program, and Incentive Compensation Recoupment Policy, can be found on our website, </w:t>
      </w:r>
      <w:r>
        <w:rPr>
          <w:rFonts w:ascii="Times New Roman" w:cs="Times New Roman" w:eastAsia="Times New Roman" w:hAnsi="Times New Roman"/>
          <w:sz w:val="17"/>
          <w:szCs w:val="17"/>
          <w:u w:val="single" w:color="auto"/>
          <w:color w:val="0C75FF"/>
        </w:rPr>
        <w:t>www.neurocrine.com</w:t>
      </w:r>
      <w:r>
        <w:rPr>
          <w:rFonts w:ascii="Times New Roman" w:cs="Times New Roman" w:eastAsia="Times New Roman" w:hAnsi="Times New Roman"/>
          <w:sz w:val="17"/>
          <w:szCs w:val="17"/>
          <w:color w:val="auto"/>
        </w:rPr>
        <w:t>. Additionally, for more information on our commitment to corporate social responsibility and stewardship, including environmental sustainability, diversity and inclusion and other key initiatives, please see our 2024 Corporate Sustainability Report, which is posted on our website referenced above under the “Sustainability” section of the website. We</w:t>
      </w:r>
    </w:p>
    <w:p>
      <w:pPr>
        <w:spacing w:after="0" w:line="2"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believe these efforts reflect the best interests of our patients, our stockholders and the communities in which we operate and serve. The information posted on or accessible through our website is not incorporated into this Proxy Statement.</w:t>
      </w:r>
    </w:p>
    <w:p>
      <w:pPr>
        <w:spacing w:after="0" w:line="157" w:lineRule="exact"/>
        <w:rPr>
          <w:sz w:val="20"/>
          <w:szCs w:val="20"/>
          <w:color w:val="auto"/>
        </w:rPr>
      </w:pPr>
    </w:p>
    <w:p>
      <w:pPr>
        <w:ind w:right="520" w:firstLine="551"/>
        <w:spacing w:after="0" w:line="237" w:lineRule="auto"/>
        <w:rPr>
          <w:sz w:val="20"/>
          <w:szCs w:val="20"/>
          <w:color w:val="auto"/>
        </w:rPr>
      </w:pPr>
      <w:r>
        <w:rPr>
          <w:rFonts w:ascii="Times New Roman" w:cs="Times New Roman" w:eastAsia="Times New Roman" w:hAnsi="Times New Roman"/>
          <w:sz w:val="18"/>
          <w:szCs w:val="18"/>
          <w:color w:val="auto"/>
        </w:rPr>
        <w:t>We believe that our strong corporate governance practices empower our independent directors to exercise effective oversight of our business generally and our management team specifically, including the performance of our Chief Executive Officer.</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highlights some of our key corporate governance practices:</w:t>
      </w: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Corporate Governance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19685</wp:posOffset>
            </wp:positionV>
            <wp:extent cx="6875145" cy="274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75145" cy="274320"/>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p>
      <w:pPr>
        <w:spacing w:after="0" w:line="31" w:lineRule="exact"/>
        <w:rPr>
          <w:sz w:val="20"/>
          <w:szCs w:val="20"/>
          <w:color w:val="auto"/>
        </w:rPr>
      </w:pPr>
    </w:p>
    <w:p>
      <w:pPr>
        <w:ind w:left="640" w:hanging="322"/>
        <w:spacing w:after="0"/>
        <w:tabs>
          <w:tab w:leader="none" w:pos="640" w:val="left"/>
        </w:tabs>
        <w:numPr>
          <w:ilvl w:val="0"/>
          <w:numId w:val="8"/>
        </w:numPr>
        <w:rPr>
          <w:rFonts w:ascii="MS PGothic" w:cs="MS PGothic" w:eastAsia="MS PGothic" w:hAnsi="MS PGothic"/>
          <w:sz w:val="34"/>
          <w:szCs w:val="34"/>
          <w:color w:val="auto"/>
          <w:vertAlign w:val="subscript"/>
        </w:rPr>
      </w:pPr>
      <w:r>
        <w:rPr>
          <w:rFonts w:ascii="Times New Roman" w:cs="Times New Roman" w:eastAsia="Times New Roman" w:hAnsi="Times New Roman"/>
          <w:sz w:val="16"/>
          <w:szCs w:val="16"/>
          <w:color w:val="auto"/>
        </w:rPr>
        <w:t>Director</w:t>
      </w:r>
      <w:r>
        <w:rPr>
          <w:rFonts w:ascii="Times New Roman" w:cs="Times New Roman" w:eastAsia="Times New Roman" w:hAnsi="Times New Roman"/>
          <w:sz w:val="28"/>
          <w:szCs w:val="28"/>
          <w:color w:val="auto"/>
          <w:vertAlign w:val="subscript"/>
        </w:rPr>
        <w:t>support</w:t>
      </w:r>
      <w:r>
        <w:rPr>
          <w:rFonts w:ascii="Times New Roman" w:cs="Times New Roman" w:eastAsia="Times New Roman" w:hAnsi="Times New Roman"/>
          <w:sz w:val="16"/>
          <w:szCs w:val="16"/>
          <w:color w:val="auto"/>
        </w:rPr>
        <w:t xml:space="preserve"> resignation policy for directors receiving less than majority</w:t>
      </w:r>
    </w:p>
    <w:p>
      <w:pPr>
        <w:spacing w:after="0" w:line="87" w:lineRule="exact"/>
        <w:rPr>
          <w:rFonts w:ascii="MS PGothic" w:cs="MS PGothic" w:eastAsia="MS PGothic" w:hAnsi="MS PGothic"/>
          <w:sz w:val="34"/>
          <w:szCs w:val="34"/>
          <w:color w:val="auto"/>
          <w:vertAlign w:val="subscript"/>
        </w:rPr>
      </w:pPr>
    </w:p>
    <w:p>
      <w:pPr>
        <w:ind w:left="640" w:hanging="322"/>
        <w:spacing w:after="0"/>
        <w:tabs>
          <w:tab w:leader="none" w:pos="640" w:val="left"/>
        </w:tabs>
        <w:numPr>
          <w:ilvl w:val="0"/>
          <w:numId w:val="8"/>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Director overboarding policy</w:t>
      </w:r>
    </w:p>
    <w:p>
      <w:pPr>
        <w:spacing w:after="0" w:line="48" w:lineRule="exact"/>
        <w:rPr>
          <w:rFonts w:ascii="MS PGothic" w:cs="MS PGothic" w:eastAsia="MS PGothic" w:hAnsi="MS PGothic"/>
          <w:sz w:val="22"/>
          <w:szCs w:val="22"/>
          <w:color w:val="auto"/>
        </w:rPr>
      </w:pPr>
    </w:p>
    <w:p>
      <w:pPr>
        <w:ind w:left="640" w:hanging="322"/>
        <w:spacing w:after="0"/>
        <w:tabs>
          <w:tab w:leader="none" w:pos="640" w:val="left"/>
        </w:tabs>
        <w:numPr>
          <w:ilvl w:val="0"/>
          <w:numId w:val="8"/>
        </w:numPr>
        <w:rPr>
          <w:rFonts w:ascii="MS PGothic" w:cs="MS PGothic" w:eastAsia="MS PGothic" w:hAnsi="MS PGothic"/>
          <w:sz w:val="33"/>
          <w:szCs w:val="33"/>
          <w:color w:val="auto"/>
          <w:vertAlign w:val="subscript"/>
        </w:rPr>
      </w:pPr>
      <w:r>
        <w:rPr>
          <w:rFonts w:ascii="Times New Roman" w:cs="Times New Roman" w:eastAsia="Times New Roman" w:hAnsi="Times New Roman"/>
          <w:sz w:val="15"/>
          <w:szCs w:val="15"/>
          <w:color w:val="auto"/>
        </w:rPr>
        <w:t>Diverse Board and policies emphasizing diversity in all new director searches</w:t>
      </w:r>
    </w:p>
    <w:p>
      <w:pPr>
        <w:spacing w:after="0" w:line="81" w:lineRule="exact"/>
        <w:rPr>
          <w:rFonts w:ascii="MS PGothic" w:cs="MS PGothic" w:eastAsia="MS PGothic" w:hAnsi="MS PGothic"/>
          <w:sz w:val="33"/>
          <w:szCs w:val="33"/>
          <w:color w:val="auto"/>
          <w:vertAlign w:val="subscript"/>
        </w:rPr>
      </w:pPr>
    </w:p>
    <w:p>
      <w:pPr>
        <w:ind w:left="640" w:hanging="322"/>
        <w:spacing w:after="0"/>
        <w:tabs>
          <w:tab w:leader="none" w:pos="640" w:val="left"/>
        </w:tabs>
        <w:numPr>
          <w:ilvl w:val="0"/>
          <w:numId w:val="8"/>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Separate Chairman and CEO</w:t>
      </w:r>
    </w:p>
    <w:p>
      <w:pPr>
        <w:spacing w:after="0" w:line="48" w:lineRule="exact"/>
        <w:rPr>
          <w:rFonts w:ascii="MS PGothic" w:cs="MS PGothic" w:eastAsia="MS PGothic" w:hAnsi="MS PGothic"/>
          <w:sz w:val="22"/>
          <w:szCs w:val="22"/>
          <w:color w:val="auto"/>
        </w:rPr>
      </w:pPr>
    </w:p>
    <w:p>
      <w:pPr>
        <w:ind w:left="640" w:right="60" w:hanging="322"/>
        <w:spacing w:after="0"/>
        <w:tabs>
          <w:tab w:leader="none" w:pos="640" w:val="left"/>
        </w:tabs>
        <w:numPr>
          <w:ilvl w:val="0"/>
          <w:numId w:val="8"/>
        </w:numPr>
        <w:rPr>
          <w:rFonts w:ascii="MS PGothic" w:cs="MS PGothic" w:eastAsia="MS PGothic" w:hAnsi="MS PGothic"/>
          <w:sz w:val="33"/>
          <w:szCs w:val="33"/>
          <w:color w:val="auto"/>
          <w:vertAlign w:val="subscript"/>
        </w:rPr>
      </w:pPr>
      <w:r>
        <w:rPr>
          <w:rFonts w:ascii="Times New Roman" w:cs="Times New Roman" w:eastAsia="Times New Roman" w:hAnsi="Times New Roman"/>
          <w:sz w:val="15"/>
          <w:szCs w:val="15"/>
          <w:color w:val="auto"/>
        </w:rPr>
        <w:t>All directors attended at least 75% of Board and relevant committee meetings</w:t>
      </w:r>
    </w:p>
    <w:p>
      <w:pPr>
        <w:spacing w:after="0" w:line="162" w:lineRule="exact"/>
        <w:rPr>
          <w:rFonts w:ascii="MS PGothic" w:cs="MS PGothic" w:eastAsia="MS PGothic" w:hAnsi="MS PGothic"/>
          <w:sz w:val="33"/>
          <w:szCs w:val="33"/>
          <w:color w:val="auto"/>
          <w:vertAlign w:val="subscript"/>
        </w:rPr>
      </w:pPr>
    </w:p>
    <w:p>
      <w:pPr>
        <w:ind w:left="640" w:hanging="322"/>
        <w:spacing w:after="0"/>
        <w:tabs>
          <w:tab w:leader="none" w:pos="640" w:val="left"/>
        </w:tabs>
        <w:numPr>
          <w:ilvl w:val="0"/>
          <w:numId w:val="8"/>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Code of Business Conduct and Ethics</w:t>
      </w:r>
    </w:p>
    <w:p>
      <w:pPr>
        <w:spacing w:after="0" w:line="109" w:lineRule="exact"/>
        <w:rPr>
          <w:rFonts w:ascii="MS PGothic" w:cs="MS PGothic" w:eastAsia="MS PGothic" w:hAnsi="MS PGothic"/>
          <w:sz w:val="22"/>
          <w:szCs w:val="22"/>
          <w:color w:val="auto"/>
        </w:rPr>
      </w:pPr>
    </w:p>
    <w:p>
      <w:pPr>
        <w:ind w:left="640" w:hanging="322"/>
        <w:spacing w:after="0"/>
        <w:tabs>
          <w:tab w:leader="none" w:pos="640" w:val="left"/>
        </w:tabs>
        <w:numPr>
          <w:ilvl w:val="0"/>
          <w:numId w:val="8"/>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Annual board and committee assessment</w:t>
      </w:r>
    </w:p>
    <w:p>
      <w:pPr>
        <w:spacing w:after="0" w:line="123" w:lineRule="exact"/>
        <w:rPr>
          <w:rFonts w:ascii="MS PGothic" w:cs="MS PGothic" w:eastAsia="MS PGothic" w:hAnsi="MS PGothic"/>
          <w:sz w:val="22"/>
          <w:szCs w:val="22"/>
          <w:color w:val="auto"/>
        </w:rPr>
      </w:pPr>
    </w:p>
    <w:p>
      <w:pPr>
        <w:ind w:left="640" w:hanging="322"/>
        <w:spacing w:after="0"/>
        <w:tabs>
          <w:tab w:leader="none" w:pos="640" w:val="left"/>
        </w:tabs>
        <w:numPr>
          <w:ilvl w:val="0"/>
          <w:numId w:val="8"/>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Proxy access for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-1341120</wp:posOffset>
            </wp:positionV>
            <wp:extent cx="6875145" cy="2660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75145" cy="26606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-904240</wp:posOffset>
            </wp:positionV>
            <wp:extent cx="6875145" cy="265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75145" cy="26543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-372745</wp:posOffset>
            </wp:positionV>
            <wp:extent cx="687514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7514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315" w:hanging="315"/>
        <w:spacing w:after="0"/>
        <w:tabs>
          <w:tab w:leader="none" w:pos="315" w:val="left"/>
        </w:tabs>
        <w:numPr>
          <w:ilvl w:val="0"/>
          <w:numId w:val="9"/>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Stockholder ability to call special meetings</w:t>
      </w:r>
    </w:p>
    <w:p>
      <w:pPr>
        <w:spacing w:after="0" w:line="109" w:lineRule="exact"/>
        <w:rPr>
          <w:rFonts w:ascii="MS PGothic" w:cs="MS PGothic" w:eastAsia="MS PGothic" w:hAnsi="MS PGothic"/>
          <w:sz w:val="22"/>
          <w:szCs w:val="22"/>
          <w:color w:val="auto"/>
        </w:rPr>
      </w:pPr>
    </w:p>
    <w:p>
      <w:pPr>
        <w:ind w:left="315" w:hanging="315"/>
        <w:spacing w:after="0"/>
        <w:tabs>
          <w:tab w:leader="none" w:pos="315" w:val="left"/>
        </w:tabs>
        <w:numPr>
          <w:ilvl w:val="0"/>
          <w:numId w:val="9"/>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Stockholder action by written consent</w:t>
      </w:r>
    </w:p>
    <w:p>
      <w:pPr>
        <w:spacing w:after="0" w:line="123" w:lineRule="exact"/>
        <w:rPr>
          <w:rFonts w:ascii="MS PGothic" w:cs="MS PGothic" w:eastAsia="MS PGothic" w:hAnsi="MS PGothic"/>
          <w:sz w:val="22"/>
          <w:szCs w:val="22"/>
          <w:color w:val="auto"/>
        </w:rPr>
      </w:pPr>
    </w:p>
    <w:p>
      <w:pPr>
        <w:ind w:left="315" w:hanging="315"/>
        <w:spacing w:after="0"/>
        <w:tabs>
          <w:tab w:leader="none" w:pos="315" w:val="left"/>
        </w:tabs>
        <w:numPr>
          <w:ilvl w:val="0"/>
          <w:numId w:val="9"/>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No poison pill in force</w:t>
      </w:r>
    </w:p>
    <w:p>
      <w:pPr>
        <w:spacing w:after="0" w:line="109" w:lineRule="exact"/>
        <w:rPr>
          <w:rFonts w:ascii="MS PGothic" w:cs="MS PGothic" w:eastAsia="MS PGothic" w:hAnsi="MS PGothic"/>
          <w:sz w:val="22"/>
          <w:szCs w:val="22"/>
          <w:color w:val="auto"/>
        </w:rPr>
      </w:pPr>
    </w:p>
    <w:p>
      <w:pPr>
        <w:ind w:left="315" w:hanging="315"/>
        <w:spacing w:after="0"/>
        <w:tabs>
          <w:tab w:leader="none" w:pos="315" w:val="left"/>
        </w:tabs>
        <w:numPr>
          <w:ilvl w:val="0"/>
          <w:numId w:val="9"/>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Clawback policy</w:t>
      </w:r>
    </w:p>
    <w:p>
      <w:pPr>
        <w:spacing w:after="0" w:line="123" w:lineRule="exact"/>
        <w:rPr>
          <w:rFonts w:ascii="MS PGothic" w:cs="MS PGothic" w:eastAsia="MS PGothic" w:hAnsi="MS PGothic"/>
          <w:sz w:val="22"/>
          <w:szCs w:val="22"/>
          <w:color w:val="auto"/>
        </w:rPr>
      </w:pPr>
    </w:p>
    <w:p>
      <w:pPr>
        <w:ind w:left="315" w:hanging="315"/>
        <w:spacing w:after="0"/>
        <w:tabs>
          <w:tab w:leader="none" w:pos="315" w:val="left"/>
        </w:tabs>
        <w:numPr>
          <w:ilvl w:val="0"/>
          <w:numId w:val="9"/>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New director orientation and continuing director education</w:t>
      </w:r>
    </w:p>
    <w:p>
      <w:pPr>
        <w:spacing w:after="0" w:line="96" w:lineRule="exact"/>
        <w:rPr>
          <w:rFonts w:ascii="MS PGothic" w:cs="MS PGothic" w:eastAsia="MS PGothic" w:hAnsi="MS PGothic"/>
          <w:sz w:val="22"/>
          <w:szCs w:val="22"/>
          <w:color w:val="auto"/>
        </w:rPr>
      </w:pPr>
    </w:p>
    <w:p>
      <w:pPr>
        <w:ind w:left="315" w:right="480" w:hanging="315"/>
        <w:spacing w:after="0" w:line="180" w:lineRule="auto"/>
        <w:tabs>
          <w:tab w:leader="none" w:pos="315" w:val="left"/>
        </w:tabs>
        <w:numPr>
          <w:ilvl w:val="0"/>
          <w:numId w:val="9"/>
        </w:numPr>
        <w:rPr>
          <w:rFonts w:ascii="MS PGothic" w:cs="MS PGothic" w:eastAsia="MS PGothic" w:hAnsi="MS PGothic"/>
          <w:sz w:val="36"/>
          <w:szCs w:val="36"/>
          <w:color w:val="auto"/>
          <w:vertAlign w:val="subscript"/>
        </w:rPr>
      </w:pPr>
      <w:r>
        <w:rPr>
          <w:rFonts w:ascii="Times New Roman" w:cs="Times New Roman" w:eastAsia="Times New Roman" w:hAnsi="Times New Roman"/>
          <w:sz w:val="16"/>
          <w:szCs w:val="16"/>
          <w:color w:val="auto"/>
        </w:rPr>
        <w:t>Executive sessions of independent directors held at every regular Board meeting</w:t>
      </w:r>
    </w:p>
    <w:p>
      <w:pPr>
        <w:spacing w:after="0" w:line="24" w:lineRule="exact"/>
        <w:rPr>
          <w:rFonts w:ascii="MS PGothic" w:cs="MS PGothic" w:eastAsia="MS PGothic" w:hAnsi="MS PGothic"/>
          <w:sz w:val="36"/>
          <w:szCs w:val="36"/>
          <w:color w:val="auto"/>
          <w:vertAlign w:val="subscript"/>
        </w:rPr>
      </w:pPr>
    </w:p>
    <w:p>
      <w:pPr>
        <w:ind w:left="315" w:hanging="315"/>
        <w:spacing w:after="0"/>
        <w:tabs>
          <w:tab w:leader="none" w:pos="315" w:val="left"/>
        </w:tabs>
        <w:numPr>
          <w:ilvl w:val="0"/>
          <w:numId w:val="9"/>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Active stockholder engagement</w:t>
      </w:r>
    </w:p>
    <w:p>
      <w:pPr>
        <w:spacing w:after="0" w:line="48" w:lineRule="exact"/>
        <w:rPr>
          <w:rFonts w:ascii="MS PGothic" w:cs="MS PGothic" w:eastAsia="MS PGothic" w:hAnsi="MS PGothic"/>
          <w:sz w:val="22"/>
          <w:szCs w:val="22"/>
          <w:color w:val="auto"/>
        </w:rPr>
      </w:pPr>
    </w:p>
    <w:p>
      <w:pPr>
        <w:ind w:left="315" w:right="880" w:hanging="315"/>
        <w:spacing w:after="0" w:line="186" w:lineRule="auto"/>
        <w:tabs>
          <w:tab w:leader="none" w:pos="315" w:val="left"/>
        </w:tabs>
        <w:numPr>
          <w:ilvl w:val="0"/>
          <w:numId w:val="9"/>
        </w:numPr>
        <w:rPr>
          <w:rFonts w:ascii="MS PGothic" w:cs="MS PGothic" w:eastAsia="MS PGothic" w:hAnsi="MS PGothic"/>
          <w:sz w:val="33"/>
          <w:szCs w:val="33"/>
          <w:color w:val="auto"/>
          <w:vertAlign w:val="subscript"/>
        </w:rPr>
      </w:pPr>
      <w:r>
        <w:rPr>
          <w:rFonts w:ascii="Times New Roman" w:cs="Times New Roman" w:eastAsia="Times New Roman" w:hAnsi="Times New Roman"/>
          <w:sz w:val="15"/>
          <w:szCs w:val="15"/>
          <w:color w:val="auto"/>
        </w:rPr>
        <w:t>Robust commitment to corporate, environmental and social responsibility</w:t>
      </w:r>
    </w:p>
    <w:p>
      <w:pPr>
        <w:spacing w:after="0" w:line="200" w:lineRule="exact"/>
        <w:rPr>
          <w:sz w:val="20"/>
          <w:szCs w:val="20"/>
          <w:color w:val="auto"/>
        </w:rPr>
      </w:pPr>
    </w:p>
    <w:p>
      <w:pPr>
        <w:sectPr>
          <w:pgSz w:w="11900" w:h="16838" w:orient="portrait"/>
          <w:cols w:equalWidth="0" w:num="2">
            <w:col w:w="5580" w:space="145"/>
            <w:col w:w="5475"/>
          </w:cols>
          <w:pgMar w:left="320" w:top="112"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Overview</w:t>
      </w:r>
    </w:p>
    <w:p>
      <w:pPr>
        <w:spacing w:after="0" w:line="202" w:lineRule="exact"/>
        <w:rPr>
          <w:sz w:val="20"/>
          <w:szCs w:val="20"/>
          <w:color w:val="auto"/>
        </w:rPr>
      </w:pPr>
    </w:p>
    <w:p>
      <w:pPr>
        <w:ind w:right="20" w:firstLine="551"/>
        <w:spacing w:after="0" w:line="216" w:lineRule="auto"/>
        <w:rPr>
          <w:sz w:val="20"/>
          <w:szCs w:val="20"/>
          <w:color w:val="auto"/>
        </w:rPr>
      </w:pPr>
      <w:r>
        <w:rPr>
          <w:rFonts w:ascii="Times New Roman" w:cs="Times New Roman" w:eastAsia="Times New Roman" w:hAnsi="Times New Roman"/>
          <w:sz w:val="18"/>
          <w:szCs w:val="18"/>
          <w:color w:val="auto"/>
        </w:rPr>
        <w:t>As we continue to focus on discovering an developing life-changing treatments for patients with under-addressed neurological, neuroendocrine, and neuropsychiatric disorders, we rely on our talented and experienced Board to provide leadership, guidance and oversight. Our Board is comprised of individuals with a strong background in executive leadership, capital management and allocation, scientific research and drug development experience, and</w:t>
      </w:r>
    </w:p>
    <w:p>
      <w:pPr>
        <w:spacing w:after="0" w:line="1" w:lineRule="exact"/>
        <w:rPr>
          <w:sz w:val="20"/>
          <w:szCs w:val="20"/>
          <w:color w:val="auto"/>
        </w:rPr>
      </w:pPr>
    </w:p>
    <w:p>
      <w:pPr>
        <w:ind w:right="140"/>
        <w:spacing w:after="0" w:line="218" w:lineRule="auto"/>
        <w:rPr>
          <w:sz w:val="20"/>
          <w:szCs w:val="20"/>
          <w:color w:val="auto"/>
        </w:rPr>
      </w:pPr>
      <w:r>
        <w:rPr>
          <w:rFonts w:ascii="Times New Roman" w:cs="Times New Roman" w:eastAsia="Times New Roman" w:hAnsi="Times New Roman"/>
          <w:sz w:val="18"/>
          <w:szCs w:val="18"/>
          <w:color w:val="auto"/>
        </w:rPr>
        <w:t>Company and industry knowledge. We believe that the diversity of our directors’ backgrounds and experiences results in different perspectives, ideas, and viewpoints, which make our Board more effective in carrying out its duties. We believe that our directors hold themselves to the highest standards of integrity and that they are committed to representing the long-term interests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40575" cy="548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0575" cy="548640"/>
                    </a:xfrm>
                    <a:prstGeom prst="rect">
                      <a:avLst/>
                    </a:prstGeom>
                    <a:noFill/>
                  </pic:spPr>
                </pic:pic>
              </a:graphicData>
            </a:graphic>
          </wp:anchor>
        </w:drawing>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Directors exhibit an effective mix of skills, experience, diversity and perspectives.</w:t>
      </w:r>
    </w:p>
    <w:p>
      <w:pPr>
        <w:spacing w:after="0" w:line="43" w:lineRule="exact"/>
        <w:rPr>
          <w:sz w:val="20"/>
          <w:szCs w:val="20"/>
          <w:color w:val="auto"/>
        </w:rPr>
      </w:pPr>
    </w:p>
    <w:tbl>
      <w:tblPr>
        <w:tblLayout w:type="fixed"/>
        <w:tblInd w:w="360" w:type="dxa"/>
        <w:tblCellMar>
          <w:top w:w="0" w:type="dxa"/>
          <w:left w:w="0" w:type="dxa"/>
          <w:bottom w:w="0" w:type="dxa"/>
          <w:right w:w="0" w:type="dxa"/>
        </w:tblCellMar>
      </w:tblPr>
      <w:tr>
        <w:trPr>
          <w:trHeight w:val="212"/>
        </w:trPr>
        <w:tc>
          <w:tcPr>
            <w:tcW w:w="186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90%</w:t>
            </w: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13.3 years</w:t>
            </w:r>
          </w:p>
        </w:tc>
        <w:tc>
          <w:tcPr>
            <w:tcW w:w="204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65.8 years</w:t>
            </w:r>
          </w:p>
        </w:tc>
        <w:tc>
          <w:tcPr>
            <w:tcW w:w="2420" w:type="dxa"/>
            <w:vAlign w:val="bottom"/>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40%</w:t>
            </w:r>
          </w:p>
        </w:tc>
        <w:tc>
          <w:tcPr>
            <w:tcW w:w="210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9"/>
              </w:rPr>
              <w:t>20%</w:t>
            </w:r>
          </w:p>
        </w:tc>
      </w:tr>
      <w:tr>
        <w:trPr>
          <w:trHeight w:val="168"/>
        </w:trPr>
        <w:tc>
          <w:tcPr>
            <w:tcW w:w="1860" w:type="dxa"/>
            <w:vAlign w:val="bottom"/>
          </w:tcPr>
          <w:p>
            <w:pPr>
              <w:jc w:val="center"/>
              <w:ind w:right="239"/>
              <w:spacing w:after="0" w:line="168" w:lineRule="exact"/>
              <w:rPr>
                <w:sz w:val="20"/>
                <w:szCs w:val="20"/>
                <w:color w:val="auto"/>
              </w:rPr>
            </w:pPr>
            <w:r>
              <w:rPr>
                <w:rFonts w:ascii="Times New Roman" w:cs="Times New Roman" w:eastAsia="Times New Roman" w:hAnsi="Times New Roman"/>
                <w:sz w:val="16"/>
                <w:szCs w:val="16"/>
                <w:b w:val="1"/>
                <w:bCs w:val="1"/>
                <w:color w:val="auto"/>
              </w:rPr>
              <w:t>of Board members are</w:t>
            </w:r>
          </w:p>
        </w:tc>
        <w:tc>
          <w:tcPr>
            <w:tcW w:w="23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average Director tenure</w:t>
            </w:r>
          </w:p>
        </w:tc>
        <w:tc>
          <w:tcPr>
            <w:tcW w:w="2040" w:type="dxa"/>
            <w:vAlign w:val="bottom"/>
          </w:tcPr>
          <w:p>
            <w:pPr>
              <w:jc w:val="center"/>
              <w:ind w:left="19"/>
              <w:spacing w:after="0" w:line="168" w:lineRule="exact"/>
              <w:rPr>
                <w:sz w:val="20"/>
                <w:szCs w:val="20"/>
                <w:color w:val="auto"/>
              </w:rPr>
            </w:pPr>
            <w:r>
              <w:rPr>
                <w:rFonts w:ascii="Times New Roman" w:cs="Times New Roman" w:eastAsia="Times New Roman" w:hAnsi="Times New Roman"/>
                <w:sz w:val="16"/>
                <w:szCs w:val="16"/>
                <w:b w:val="1"/>
                <w:bCs w:val="1"/>
                <w:color w:val="auto"/>
                <w:w w:val="99"/>
              </w:rPr>
              <w:t>average Director age</w:t>
            </w:r>
          </w:p>
        </w:tc>
        <w:tc>
          <w:tcPr>
            <w:tcW w:w="2420" w:type="dxa"/>
            <w:vAlign w:val="bottom"/>
          </w:tcPr>
          <w:p>
            <w:pPr>
              <w:jc w:val="center"/>
              <w:ind w:left="59"/>
              <w:spacing w:after="0" w:line="168" w:lineRule="exact"/>
              <w:rPr>
                <w:sz w:val="20"/>
                <w:szCs w:val="20"/>
                <w:color w:val="auto"/>
              </w:rPr>
            </w:pPr>
            <w:r>
              <w:rPr>
                <w:rFonts w:ascii="Times New Roman" w:cs="Times New Roman" w:eastAsia="Times New Roman" w:hAnsi="Times New Roman"/>
                <w:sz w:val="16"/>
                <w:szCs w:val="16"/>
                <w:b w:val="1"/>
                <w:bCs w:val="1"/>
                <w:color w:val="auto"/>
              </w:rPr>
              <w:t>of Board members are female</w:t>
            </w:r>
          </w:p>
        </w:tc>
        <w:tc>
          <w:tcPr>
            <w:tcW w:w="2100" w:type="dxa"/>
            <w:vAlign w:val="bottom"/>
          </w:tcPr>
          <w:p>
            <w:pPr>
              <w:jc w:val="center"/>
              <w:ind w:left="39"/>
              <w:spacing w:after="0" w:line="168" w:lineRule="exact"/>
              <w:rPr>
                <w:sz w:val="20"/>
                <w:szCs w:val="20"/>
                <w:color w:val="auto"/>
              </w:rPr>
            </w:pPr>
            <w:r>
              <w:rPr>
                <w:rFonts w:ascii="Times New Roman" w:cs="Times New Roman" w:eastAsia="Times New Roman" w:hAnsi="Times New Roman"/>
                <w:sz w:val="16"/>
                <w:szCs w:val="16"/>
                <w:b w:val="1"/>
                <w:bCs w:val="1"/>
                <w:color w:val="auto"/>
              </w:rPr>
              <w:t>of Board members are</w:t>
            </w:r>
          </w:p>
        </w:tc>
      </w:tr>
      <w:tr>
        <w:trPr>
          <w:trHeight w:val="212"/>
        </w:trPr>
        <w:tc>
          <w:tcPr>
            <w:tcW w:w="186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independent</w:t>
            </w:r>
          </w:p>
        </w:tc>
        <w:tc>
          <w:tcPr>
            <w:tcW w:w="23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10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underrepresented minorities</w:t>
            </w:r>
          </w:p>
        </w:tc>
      </w:tr>
    </w:tbl>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matrix highlights the mix of key skills and experiences of our director nominees and continuing directors. This matrix is intended to</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depict notable areas of focus for each director, and not having a mark does not mean that a particular director does not possess that skill or experience. Nominees have developed competencies in these skills through education, direct experience and oversight responsibilities. Additional biographical information on each nominee is set out above.</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Director Nominees</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Continuing Directors</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9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William</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George</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Leslie</w:t>
            </w: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Christine</w:t>
            </w:r>
          </w:p>
        </w:tc>
        <w:tc>
          <w:tcPr>
            <w:tcW w:w="8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Kevin</w:t>
            </w:r>
          </w:p>
        </w:tc>
        <w:tc>
          <w:tcPr>
            <w:tcW w:w="980" w:type="dxa"/>
            <w:vAlign w:val="bottom"/>
          </w:tcPr>
          <w:p>
            <w:pPr>
              <w:spacing w:after="0"/>
              <w:rPr>
                <w:sz w:val="12"/>
                <w:szCs w:val="12"/>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Johanna</w:t>
            </w:r>
          </w:p>
        </w:tc>
        <w:tc>
          <w:tcPr>
            <w:tcW w:w="1920" w:type="dxa"/>
            <w:vAlign w:val="bottom"/>
          </w:tcPr>
          <w:p>
            <w:pPr>
              <w:spacing w:after="0"/>
              <w:rPr>
                <w:sz w:val="12"/>
                <w:szCs w:val="12"/>
                <w:color w:val="auto"/>
              </w:rPr>
            </w:pPr>
          </w:p>
        </w:tc>
        <w:tc>
          <w:tcPr>
            <w:tcW w:w="820" w:type="dxa"/>
            <w:vAlign w:val="bottom"/>
          </w:tcPr>
          <w:p>
            <w:pPr>
              <w:jc w:val="center"/>
              <w:ind w:right="8"/>
              <w:spacing w:after="0" w:line="145" w:lineRule="exact"/>
              <w:rPr>
                <w:sz w:val="20"/>
                <w:szCs w:val="20"/>
                <w:color w:val="auto"/>
              </w:rPr>
            </w:pPr>
            <w:r>
              <w:rPr>
                <w:rFonts w:ascii="Times New Roman" w:cs="Times New Roman" w:eastAsia="Times New Roman" w:hAnsi="Times New Roman"/>
                <w:sz w:val="14"/>
                <w:szCs w:val="14"/>
                <w:b w:val="1"/>
                <w:bCs w:val="1"/>
                <w:color w:val="auto"/>
              </w:rPr>
              <w:t>Stephen</w:t>
            </w:r>
          </w:p>
        </w:tc>
        <w:tc>
          <w:tcPr>
            <w:tcW w:w="0" w:type="dxa"/>
            <w:vAlign w:val="bottom"/>
          </w:tcPr>
          <w:p>
            <w:pPr>
              <w:spacing w:after="0"/>
              <w:rPr>
                <w:sz w:val="1"/>
                <w:szCs w:val="1"/>
                <w:color w:val="auto"/>
              </w:rPr>
            </w:pPr>
          </w:p>
        </w:tc>
      </w:tr>
      <w:tr>
        <w:trPr>
          <w:trHeight w:val="81"/>
        </w:trPr>
        <w:tc>
          <w:tcPr>
            <w:tcW w:w="2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Experience, Expertise, or</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Rastetter,</w:t>
            </w:r>
          </w:p>
        </w:tc>
        <w:tc>
          <w:tcPr>
            <w:tcW w:w="86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Gorman,</w:t>
            </w:r>
          </w:p>
        </w:tc>
        <w:tc>
          <w:tcPr>
            <w:tcW w:w="9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Gary Lyons</w:t>
            </w:r>
          </w:p>
        </w:tc>
        <w:tc>
          <w:tcPr>
            <w:tcW w:w="780" w:type="dxa"/>
            <w:vAlign w:val="bottom"/>
            <w:vMerge w:val="continue"/>
          </w:tcPr>
          <w:p>
            <w:pPr>
              <w:spacing w:after="0"/>
              <w:rPr>
                <w:sz w:val="7"/>
                <w:szCs w:val="7"/>
                <w:color w:val="auto"/>
              </w:rPr>
            </w:pPr>
          </w:p>
        </w:tc>
        <w:tc>
          <w:tcPr>
            <w:tcW w:w="19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Richard Pops Shalini Sharp</w:t>
            </w:r>
          </w:p>
        </w:tc>
        <w:tc>
          <w:tcPr>
            <w:tcW w:w="8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Sherwin,</w:t>
            </w:r>
          </w:p>
        </w:tc>
        <w:tc>
          <w:tcPr>
            <w:tcW w:w="0" w:type="dxa"/>
            <w:vAlign w:val="bottom"/>
          </w:tcPr>
          <w:p>
            <w:pPr>
              <w:spacing w:after="0"/>
              <w:rPr>
                <w:sz w:val="1"/>
                <w:szCs w:val="1"/>
                <w:color w:val="auto"/>
              </w:rPr>
            </w:pPr>
          </w:p>
        </w:tc>
      </w:tr>
      <w:tr>
        <w:trPr>
          <w:trHeight w:val="146"/>
        </w:trPr>
        <w:tc>
          <w:tcPr>
            <w:tcW w:w="21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Morrow</w:t>
            </w: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Norwalk</w:t>
            </w:r>
          </w:p>
        </w:tc>
        <w:tc>
          <w:tcPr>
            <w:tcW w:w="10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w w:val="98"/>
              </w:rPr>
              <w:t>Poon</w:t>
            </w:r>
          </w:p>
        </w:tc>
        <w:tc>
          <w:tcPr>
            <w:tcW w:w="84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tcPr>
          <w:p>
            <w:pPr>
              <w:ind w:left="160"/>
              <w:spacing w:after="0" w:line="146" w:lineRule="exact"/>
              <w:rPr>
                <w:sz w:val="20"/>
                <w:szCs w:val="20"/>
                <w:color w:val="auto"/>
              </w:rPr>
            </w:pPr>
            <w:r>
              <w:rPr>
                <w:rFonts w:ascii="Times New Roman" w:cs="Times New Roman" w:eastAsia="Times New Roman" w:hAnsi="Times New Roman"/>
                <w:sz w:val="14"/>
                <w:szCs w:val="14"/>
                <w:b w:val="1"/>
                <w:bCs w:val="1"/>
                <w:color w:val="auto"/>
              </w:rPr>
              <w:t>Mercier</w:t>
            </w:r>
          </w:p>
        </w:tc>
        <w:tc>
          <w:tcPr>
            <w:tcW w:w="19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Attribute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Ph.D.</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Ph.D.</w:t>
            </w: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Industry Expertise</w:t>
      </w:r>
    </w:p>
    <w:p>
      <w:pPr>
        <w:spacing w:after="0" w:line="82" w:lineRule="exact"/>
        <w:rPr>
          <w:sz w:val="20"/>
          <w:szCs w:val="20"/>
          <w:color w:val="auto"/>
        </w:rPr>
      </w:pPr>
    </w:p>
    <w:p>
      <w:pPr>
        <w:ind w:left="20" w:right="20"/>
        <w:spacing w:after="0" w:line="261" w:lineRule="auto"/>
        <w:rPr>
          <w:sz w:val="20"/>
          <w:szCs w:val="20"/>
          <w:color w:val="auto"/>
        </w:rPr>
      </w:pPr>
      <w:r>
        <w:rPr>
          <w:rFonts w:ascii="Times New Roman" w:cs="Times New Roman" w:eastAsia="Times New Roman" w:hAnsi="Times New Roman"/>
          <w:sz w:val="14"/>
          <w:szCs w:val="14"/>
          <w:color w:val="auto"/>
        </w:rPr>
        <w:t>Finance / Capital Management and Allocation</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Commercial Experience</w:t>
      </w:r>
    </w:p>
    <w:p>
      <w:pPr>
        <w:spacing w:after="0" w:line="82" w:lineRule="exact"/>
        <w:rPr>
          <w:sz w:val="20"/>
          <w:szCs w:val="20"/>
          <w:color w:val="auto"/>
        </w:rPr>
      </w:pPr>
    </w:p>
    <w:p>
      <w:pPr>
        <w:ind w:left="20" w:right="440"/>
        <w:spacing w:after="0" w:line="261" w:lineRule="auto"/>
        <w:rPr>
          <w:sz w:val="20"/>
          <w:szCs w:val="20"/>
          <w:color w:val="auto"/>
        </w:rPr>
      </w:pPr>
      <w:r>
        <w:rPr>
          <w:rFonts w:ascii="Times New Roman" w:cs="Times New Roman" w:eastAsia="Times New Roman" w:hAnsi="Times New Roman"/>
          <w:sz w:val="14"/>
          <w:szCs w:val="14"/>
          <w:color w:val="auto"/>
        </w:rPr>
        <w:t>Scientific Research &amp; Drug Development Experience</w:t>
      </w:r>
    </w:p>
    <w:p>
      <w:pPr>
        <w:spacing w:after="0" w:line="28" w:lineRule="exact"/>
        <w:rPr>
          <w:sz w:val="20"/>
          <w:szCs w:val="20"/>
          <w:color w:val="auto"/>
        </w:rPr>
      </w:pPr>
    </w:p>
    <w:p>
      <w:pPr>
        <w:ind w:left="20" w:right="260"/>
        <w:spacing w:after="0" w:line="261" w:lineRule="auto"/>
        <w:rPr>
          <w:sz w:val="20"/>
          <w:szCs w:val="20"/>
          <w:color w:val="auto"/>
        </w:rPr>
      </w:pPr>
      <w:r>
        <w:rPr>
          <w:rFonts w:ascii="Times New Roman" w:cs="Times New Roman" w:eastAsia="Times New Roman" w:hAnsi="Times New Roman"/>
          <w:sz w:val="14"/>
          <w:szCs w:val="14"/>
          <w:color w:val="auto"/>
        </w:rPr>
        <w:t>Governance / Public Company Board</w:t>
      </w:r>
    </w:p>
    <w:p>
      <w:pPr>
        <w:spacing w:after="0" w:line="28" w:lineRule="exact"/>
        <w:rPr>
          <w:sz w:val="20"/>
          <w:szCs w:val="20"/>
          <w:color w:val="auto"/>
        </w:rPr>
      </w:pPr>
    </w:p>
    <w:p>
      <w:pPr>
        <w:ind w:left="20" w:right="180"/>
        <w:spacing w:after="0" w:line="261" w:lineRule="auto"/>
        <w:rPr>
          <w:sz w:val="20"/>
          <w:szCs w:val="20"/>
          <w:color w:val="auto"/>
        </w:rPr>
      </w:pPr>
      <w:r>
        <w:rPr>
          <w:rFonts w:ascii="Times New Roman" w:cs="Times New Roman" w:eastAsia="Times New Roman" w:hAnsi="Times New Roman"/>
          <w:sz w:val="14"/>
          <w:szCs w:val="14"/>
          <w:color w:val="auto"/>
        </w:rPr>
        <w:t>Investor Relations / Stockholder Engagement</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International Markets</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Government Affairs / Public Policy</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Executive Leadership Experience</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Accounting / Financial Reporting</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Risk Oversight / Risk Management</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Human Capital Management</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IT / Cybersecurity</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Pricing and Market Access - U.S.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9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tcPr>
          <w:p>
            <w:pPr>
              <w:ind w:left="126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8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800" w:type="dxa"/>
            <w:vAlign w:val="bottom"/>
            <w:tcBorders>
              <w:top w:val="single" w:sz="8" w:color="auto"/>
            </w:tcBorders>
          </w:tcPr>
          <w:p>
            <w:pPr>
              <w:ind w:left="36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880" w:type="dxa"/>
            <w:vAlign w:val="bottom"/>
            <w:tcBorders>
              <w:top w:val="single" w:sz="8" w:color="auto"/>
            </w:tcBorders>
          </w:tcPr>
          <w:p>
            <w:pPr>
              <w:ind w:left="34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0" w:type="dxa"/>
            <w:vAlign w:val="bottom"/>
          </w:tcPr>
          <w:p>
            <w:pPr>
              <w:spacing w:after="0"/>
              <w:rPr>
                <w:sz w:val="1"/>
                <w:szCs w:val="1"/>
                <w:color w:val="auto"/>
              </w:rPr>
            </w:pPr>
          </w:p>
        </w:tc>
      </w:tr>
      <w:tr>
        <w:trPr>
          <w:trHeight w:val="324"/>
        </w:trPr>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00" w:type="dxa"/>
            <w:vAlign w:val="bottom"/>
            <w:gridSpan w:val="2"/>
          </w:tcPr>
          <w:p>
            <w:pPr>
              <w:ind w:left="126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880" w:type="dxa"/>
            <w:vAlign w:val="bottom"/>
          </w:tcPr>
          <w:p>
            <w:pPr>
              <w:ind w:left="36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900" w:type="dxa"/>
            <w:vAlign w:val="bottom"/>
          </w:tcPr>
          <w:p>
            <w:pPr>
              <w:ind w:left="36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880" w:type="dxa"/>
            <w:vAlign w:val="bottom"/>
          </w:tcPr>
          <w:p>
            <w:pPr>
              <w:spacing w:after="0"/>
              <w:rPr>
                <w:sz w:val="24"/>
                <w:szCs w:val="24"/>
                <w:color w:val="auto"/>
              </w:rPr>
            </w:pPr>
          </w:p>
        </w:tc>
        <w:tc>
          <w:tcPr>
            <w:tcW w:w="1800" w:type="dxa"/>
            <w:vAlign w:val="bottom"/>
          </w:tcPr>
          <w:p>
            <w:pPr>
              <w:ind w:left="126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88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0" w:type="dxa"/>
            <w:vAlign w:val="bottom"/>
          </w:tcPr>
          <w:p>
            <w:pPr>
              <w:spacing w:after="0"/>
              <w:rPr>
                <w:sz w:val="1"/>
                <w:szCs w:val="1"/>
                <w:color w:val="auto"/>
              </w:rPr>
            </w:pPr>
          </w:p>
        </w:tc>
      </w:tr>
      <w:tr>
        <w:trPr>
          <w:trHeight w:val="362"/>
        </w:trPr>
        <w:tc>
          <w:tcPr>
            <w:tcW w:w="900" w:type="dxa"/>
            <w:vAlign w:val="bottom"/>
            <w:vMerge w:val="restart"/>
          </w:tcPr>
          <w:p>
            <w:pPr>
              <w:ind w:left="36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900" w:type="dxa"/>
            <w:vAlign w:val="bottom"/>
          </w:tcPr>
          <w:p>
            <w:pPr>
              <w:ind w:left="36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1900" w:type="dxa"/>
            <w:vAlign w:val="bottom"/>
            <w:gridSpan w:val="2"/>
          </w:tcPr>
          <w:p>
            <w:pPr>
              <w:ind w:left="126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ind w:left="36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1800" w:type="dxa"/>
            <w:vAlign w:val="bottom"/>
            <w:vMerge w:val="restart"/>
          </w:tcPr>
          <w:p>
            <w:pPr>
              <w:ind w:left="36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880" w:type="dxa"/>
            <w:vAlign w:val="bottom"/>
            <w:vMerge w:val="restart"/>
          </w:tcPr>
          <w:p>
            <w:pPr>
              <w:ind w:left="34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0" w:type="dxa"/>
            <w:vAlign w:val="bottom"/>
          </w:tcPr>
          <w:p>
            <w:pPr>
              <w:spacing w:after="0"/>
              <w:rPr>
                <w:sz w:val="1"/>
                <w:szCs w:val="1"/>
                <w:color w:val="auto"/>
              </w:rPr>
            </w:pPr>
          </w:p>
        </w:tc>
      </w:tr>
      <w:tr>
        <w:trPr>
          <w:trHeight w:val="324"/>
        </w:trPr>
        <w:tc>
          <w:tcPr>
            <w:tcW w:w="9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00" w:type="dxa"/>
            <w:vAlign w:val="bottom"/>
          </w:tcPr>
          <w:p>
            <w:pPr>
              <w:ind w:left="36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900" w:type="dxa"/>
            <w:vAlign w:val="bottom"/>
          </w:tcPr>
          <w:p>
            <w:pPr>
              <w:ind w:left="36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1900" w:type="dxa"/>
            <w:vAlign w:val="bottom"/>
            <w:gridSpan w:val="2"/>
          </w:tcPr>
          <w:p>
            <w:pPr>
              <w:ind w:left="34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0" w:type="dxa"/>
            <w:vAlign w:val="bottom"/>
          </w:tcPr>
          <w:p>
            <w:pPr>
              <w:ind w:left="36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00" w:type="dxa"/>
            <w:vAlign w:val="bottom"/>
          </w:tcPr>
          <w:p>
            <w:pPr>
              <w:ind w:left="36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900" w:type="dxa"/>
            <w:vAlign w:val="bottom"/>
          </w:tcPr>
          <w:p>
            <w:pPr>
              <w:spacing w:after="0"/>
              <w:rPr>
                <w:sz w:val="24"/>
                <w:szCs w:val="24"/>
                <w:color w:val="auto"/>
              </w:rPr>
            </w:pPr>
          </w:p>
        </w:tc>
        <w:tc>
          <w:tcPr>
            <w:tcW w:w="1900" w:type="dxa"/>
            <w:vAlign w:val="bottom"/>
            <w:gridSpan w:val="2"/>
          </w:tcPr>
          <w:p>
            <w:pPr>
              <w:ind w:left="34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880" w:type="dxa"/>
            <w:vAlign w:val="bottom"/>
          </w:tcPr>
          <w:p>
            <w:pPr>
              <w:ind w:left="36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900" w:type="dxa"/>
            <w:vAlign w:val="bottom"/>
          </w:tcPr>
          <w:p>
            <w:pPr>
              <w:ind w:left="36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880" w:type="dxa"/>
            <w:vAlign w:val="bottom"/>
          </w:tcPr>
          <w:p>
            <w:pPr>
              <w:ind w:left="36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1800" w:type="dxa"/>
            <w:vAlign w:val="bottom"/>
          </w:tcPr>
          <w:p>
            <w:pPr>
              <w:ind w:left="36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900" w:type="dxa"/>
            <w:vAlign w:val="bottom"/>
          </w:tcPr>
          <w:p>
            <w:pPr>
              <w:ind w:left="36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1900" w:type="dxa"/>
            <w:vAlign w:val="bottom"/>
            <w:gridSpan w:val="2"/>
          </w:tcPr>
          <w:p>
            <w:pPr>
              <w:ind w:left="126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8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80" w:type="dxa"/>
            <w:vAlign w:val="bottom"/>
          </w:tcPr>
          <w:p>
            <w:pPr>
              <w:ind w:left="36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1800" w:type="dxa"/>
            <w:vAlign w:val="bottom"/>
          </w:tcPr>
          <w:p>
            <w:pPr>
              <w:spacing w:after="0"/>
              <w:rPr>
                <w:sz w:val="23"/>
                <w:szCs w:val="23"/>
                <w:color w:val="auto"/>
              </w:rPr>
            </w:pPr>
          </w:p>
        </w:tc>
        <w:tc>
          <w:tcPr>
            <w:tcW w:w="880" w:type="dxa"/>
            <w:vAlign w:val="bottom"/>
            <w:vMerge w:val="restart"/>
          </w:tcPr>
          <w:p>
            <w:pPr>
              <w:ind w:left="34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0" w:type="dxa"/>
            <w:vAlign w:val="bottom"/>
          </w:tcPr>
          <w:p>
            <w:pPr>
              <w:spacing w:after="0"/>
              <w:rPr>
                <w:sz w:val="1"/>
                <w:szCs w:val="1"/>
                <w:color w:val="auto"/>
              </w:rPr>
            </w:pPr>
          </w:p>
        </w:tc>
      </w:tr>
      <w:tr>
        <w:trPr>
          <w:trHeight w:val="362"/>
        </w:trPr>
        <w:tc>
          <w:tcPr>
            <w:tcW w:w="900" w:type="dxa"/>
            <w:vAlign w:val="bottom"/>
            <w:vMerge w:val="restart"/>
          </w:tcPr>
          <w:p>
            <w:pPr>
              <w:ind w:left="36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900" w:type="dxa"/>
            <w:vAlign w:val="bottom"/>
            <w:vMerge w:val="restart"/>
          </w:tcPr>
          <w:p>
            <w:pPr>
              <w:ind w:left="36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1900" w:type="dxa"/>
            <w:vAlign w:val="bottom"/>
            <w:gridSpan w:val="2"/>
          </w:tcPr>
          <w:p>
            <w:pPr>
              <w:ind w:left="34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880" w:type="dxa"/>
            <w:vAlign w:val="bottom"/>
            <w:vMerge w:val="restart"/>
          </w:tcPr>
          <w:p>
            <w:pPr>
              <w:ind w:left="36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900" w:type="dxa"/>
            <w:vAlign w:val="bottom"/>
            <w:vMerge w:val="restart"/>
          </w:tcPr>
          <w:p>
            <w:pPr>
              <w:ind w:left="36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880" w:type="dxa"/>
            <w:vAlign w:val="bottom"/>
            <w:vMerge w:val="restart"/>
          </w:tcPr>
          <w:p>
            <w:pPr>
              <w:ind w:left="36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18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00" w:type="dxa"/>
            <w:vAlign w:val="bottom"/>
            <w:vMerge w:val="continue"/>
          </w:tcPr>
          <w:p>
            <w:pPr>
              <w:spacing w:after="0"/>
              <w:rPr>
                <w:sz w:val="23"/>
                <w:szCs w:val="23"/>
                <w:color w:val="auto"/>
              </w:rPr>
            </w:pPr>
          </w:p>
        </w:tc>
        <w:tc>
          <w:tcPr>
            <w:tcW w:w="900" w:type="dxa"/>
            <w:vAlign w:val="bottom"/>
            <w:vMerge w:val="continue"/>
          </w:tcPr>
          <w:p>
            <w:pPr>
              <w:spacing w:after="0"/>
              <w:rPr>
                <w:sz w:val="23"/>
                <w:szCs w:val="23"/>
                <w:color w:val="auto"/>
              </w:rPr>
            </w:pPr>
          </w:p>
        </w:tc>
        <w:tc>
          <w:tcPr>
            <w:tcW w:w="1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vMerge w:val="continue"/>
          </w:tcPr>
          <w:p>
            <w:pPr>
              <w:spacing w:after="0"/>
              <w:rPr>
                <w:sz w:val="23"/>
                <w:szCs w:val="23"/>
                <w:color w:val="auto"/>
              </w:rPr>
            </w:pPr>
          </w:p>
        </w:tc>
        <w:tc>
          <w:tcPr>
            <w:tcW w:w="900" w:type="dxa"/>
            <w:vAlign w:val="bottom"/>
            <w:vMerge w:val="continue"/>
          </w:tcPr>
          <w:p>
            <w:pPr>
              <w:spacing w:after="0"/>
              <w:rPr>
                <w:sz w:val="23"/>
                <w:szCs w:val="23"/>
                <w:color w:val="auto"/>
              </w:rPr>
            </w:pPr>
          </w:p>
        </w:tc>
        <w:tc>
          <w:tcPr>
            <w:tcW w:w="880" w:type="dxa"/>
            <w:vAlign w:val="bottom"/>
            <w:vMerge w:val="continue"/>
          </w:tcPr>
          <w:p>
            <w:pPr>
              <w:spacing w:after="0"/>
              <w:rPr>
                <w:sz w:val="23"/>
                <w:szCs w:val="23"/>
                <w:color w:val="auto"/>
              </w:rPr>
            </w:pPr>
          </w:p>
        </w:tc>
        <w:tc>
          <w:tcPr>
            <w:tcW w:w="1800" w:type="dxa"/>
            <w:vAlign w:val="bottom"/>
            <w:vMerge w:val="restart"/>
          </w:tcPr>
          <w:p>
            <w:pPr>
              <w:ind w:left="126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vMerge w:val="restart"/>
          </w:tcPr>
          <w:p>
            <w:pPr>
              <w:ind w:left="36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2"/>
        </w:trPr>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900" w:type="dxa"/>
            <w:vAlign w:val="bottom"/>
            <w:vMerge w:val="restart"/>
          </w:tcPr>
          <w:p>
            <w:pPr>
              <w:ind w:left="36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880" w:type="dxa"/>
            <w:vAlign w:val="bottom"/>
          </w:tcPr>
          <w:p>
            <w:pPr>
              <w:spacing w:after="0"/>
              <w:rPr>
                <w:sz w:val="24"/>
                <w:szCs w:val="24"/>
                <w:color w:val="auto"/>
              </w:rPr>
            </w:pPr>
          </w:p>
        </w:tc>
        <w:tc>
          <w:tcPr>
            <w:tcW w:w="1800" w:type="dxa"/>
            <w:vAlign w:val="bottom"/>
          </w:tcPr>
          <w:p>
            <w:pPr>
              <w:ind w:left="126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00" w:type="dxa"/>
            <w:vAlign w:val="bottom"/>
            <w:vMerge w:val="continue"/>
          </w:tcPr>
          <w:p>
            <w:pPr>
              <w:spacing w:after="0"/>
              <w:rPr>
                <w:sz w:val="23"/>
                <w:szCs w:val="23"/>
                <w:color w:val="auto"/>
              </w:rPr>
            </w:pPr>
          </w:p>
        </w:tc>
        <w:tc>
          <w:tcPr>
            <w:tcW w:w="880" w:type="dxa"/>
            <w:vAlign w:val="bottom"/>
          </w:tcPr>
          <w:p>
            <w:pPr>
              <w:spacing w:after="0"/>
              <w:rPr>
                <w:sz w:val="23"/>
                <w:szCs w:val="23"/>
                <w:color w:val="auto"/>
              </w:rPr>
            </w:pPr>
          </w:p>
        </w:tc>
        <w:tc>
          <w:tcPr>
            <w:tcW w:w="1800" w:type="dxa"/>
            <w:vAlign w:val="bottom"/>
            <w:vMerge w:val="restart"/>
          </w:tcPr>
          <w:p>
            <w:pPr>
              <w:ind w:left="126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900" w:type="dxa"/>
            <w:vAlign w:val="bottom"/>
            <w:gridSpan w:val="2"/>
            <w:vMerge w:val="restart"/>
          </w:tcPr>
          <w:p>
            <w:pPr>
              <w:ind w:left="34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8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0" w:type="dxa"/>
            <w:vAlign w:val="bottom"/>
            <w:vMerge w:val="continue"/>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900" w:type="dxa"/>
            <w:vAlign w:val="bottom"/>
            <w:gridSpan w:val="2"/>
            <w:vMerge w:val="continue"/>
          </w:tcPr>
          <w:p>
            <w:pPr>
              <w:spacing w:after="0"/>
              <w:rPr>
                <w:sz w:val="23"/>
                <w:szCs w:val="23"/>
                <w:color w:val="auto"/>
              </w:rPr>
            </w:pPr>
          </w:p>
        </w:tc>
        <w:tc>
          <w:tcPr>
            <w:tcW w:w="8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-2281555</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-1870075</wp:posOffset>
            </wp:positionV>
            <wp:extent cx="7132320" cy="240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-1390015</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-1047115</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-704215</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-361315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140"/>
            <w:col w:w="9040"/>
          </w:cols>
          <w:pgMar w:left="320" w:top="11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02" w:lineRule="exact"/>
        <w:rPr>
          <w:sz w:val="20"/>
          <w:szCs w:val="20"/>
          <w:color w:val="auto"/>
        </w:rPr>
      </w:pPr>
    </w:p>
    <w:p>
      <w:pPr>
        <w:jc w:val="both"/>
        <w:ind w:right="60" w:firstLine="551"/>
        <w:spacing w:after="0" w:line="229" w:lineRule="auto"/>
        <w:rPr>
          <w:sz w:val="20"/>
          <w:szCs w:val="20"/>
          <w:color w:val="auto"/>
        </w:rPr>
      </w:pPr>
      <w:r>
        <w:rPr>
          <w:rFonts w:ascii="Times New Roman" w:cs="Times New Roman" w:eastAsia="Times New Roman" w:hAnsi="Times New Roman"/>
          <w:sz w:val="17"/>
          <w:szCs w:val="17"/>
          <w:color w:val="auto"/>
        </w:rPr>
        <w:t>It is the Company’s policy to separate the roles of Chief Executive Officer and Chairman of the Board. This separation recognizes the independent roles of the Board of Directors, Chairman of the Board and Chief Executive Officer. The Board of Directors sets Company strategy and provides oversight and accountability for the Chief Executive Officer and Company management. The Chairman of the Board presides over the Board of Directors and</w:t>
      </w:r>
    </w:p>
    <w:p>
      <w:pPr>
        <w:ind w:right="20"/>
        <w:spacing w:after="0" w:line="208" w:lineRule="auto"/>
        <w:rPr>
          <w:sz w:val="20"/>
          <w:szCs w:val="20"/>
          <w:color w:val="auto"/>
        </w:rPr>
      </w:pPr>
      <w:r>
        <w:rPr>
          <w:rFonts w:ascii="Times New Roman" w:cs="Times New Roman" w:eastAsia="Times New Roman" w:hAnsi="Times New Roman"/>
          <w:sz w:val="18"/>
          <w:szCs w:val="18"/>
          <w:color w:val="auto"/>
        </w:rPr>
        <w:t>provides guidance to the Chief Executive Officer. The Chief Executive Officer and the balance of the Board of Directors set Company goals with the Chief Executive Officer providing leadership and day to day oversight in furtherance of those goals. The Company believes that separation of the Board of Directors and Company leadership reinforces the independence of the Board of Directors in its oversight of the business and affairs of the Company, and</w:t>
      </w:r>
    </w:p>
    <w:p>
      <w:pPr>
        <w:spacing w:after="0" w:line="2" w:lineRule="exact"/>
        <w:rPr>
          <w:sz w:val="20"/>
          <w:szCs w:val="20"/>
          <w:color w:val="auto"/>
        </w:rPr>
      </w:pPr>
    </w:p>
    <w:p>
      <w:pPr>
        <w:jc w:val="both"/>
        <w:ind w:right="40"/>
        <w:spacing w:after="0" w:line="239" w:lineRule="auto"/>
        <w:rPr>
          <w:sz w:val="20"/>
          <w:szCs w:val="20"/>
          <w:color w:val="auto"/>
        </w:rPr>
      </w:pPr>
      <w:r>
        <w:rPr>
          <w:rFonts w:ascii="Times New Roman" w:cs="Times New Roman" w:eastAsia="Times New Roman" w:hAnsi="Times New Roman"/>
          <w:sz w:val="17"/>
          <w:szCs w:val="17"/>
          <w:color w:val="auto"/>
        </w:rPr>
        <w:t>creates an environment that is more conducive to objective evaluation and oversight of management’s performance, increasing management accountability and improving the ability of the Board of Directors to monitor whether management’s actions are in the best interests of the Company and its stockholders.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202" w:lineRule="exact"/>
        <w:rPr>
          <w:sz w:val="20"/>
          <w:szCs w:val="20"/>
          <w:color w:val="auto"/>
        </w:rPr>
      </w:pPr>
    </w:p>
    <w:p>
      <w:pPr>
        <w:ind w:right="120" w:firstLine="551"/>
        <w:spacing w:after="0" w:line="226" w:lineRule="auto"/>
        <w:rPr>
          <w:sz w:val="20"/>
          <w:szCs w:val="20"/>
          <w:color w:val="auto"/>
        </w:rPr>
      </w:pPr>
      <w:r>
        <w:rPr>
          <w:rFonts w:ascii="Times New Roman" w:cs="Times New Roman" w:eastAsia="Times New Roman" w:hAnsi="Times New Roman"/>
          <w:sz w:val="18"/>
          <w:szCs w:val="18"/>
          <w:color w:val="auto"/>
        </w:rPr>
        <w:t>The Board of Directors annually reviews the independence of each of the directors. With the exception of Kevin C. Gorman, Ph.D., who is the Chief Executive Officer of Neurocrine Biosciences, all current members of the Board of Directors meet the definition of “independent director” under the Nasdaq Stock Market qualification standards.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Classified Board Structure</w:t>
      </w:r>
    </w:p>
    <w:p>
      <w:pPr>
        <w:spacing w:after="0" w:line="189" w:lineRule="exact"/>
        <w:rPr>
          <w:sz w:val="20"/>
          <w:szCs w:val="20"/>
          <w:color w:val="auto"/>
        </w:rPr>
      </w:pPr>
    </w:p>
    <w:p>
      <w:pPr>
        <w:ind w:right="40" w:firstLine="551"/>
        <w:spacing w:after="0" w:line="216" w:lineRule="auto"/>
        <w:rPr>
          <w:sz w:val="20"/>
          <w:szCs w:val="20"/>
          <w:color w:val="auto"/>
        </w:rPr>
      </w:pPr>
      <w:r>
        <w:rPr>
          <w:rFonts w:ascii="Times New Roman" w:cs="Times New Roman" w:eastAsia="Times New Roman" w:hAnsi="Times New Roman"/>
          <w:sz w:val="18"/>
          <w:szCs w:val="18"/>
          <w:color w:val="auto"/>
        </w:rPr>
        <w:t>The Board of Directors is divided into three classes, designated Class I, Class II and Class III. Our Nominating / Corporate Governance Committee annually reviews the Company’s classified Board structure to evaluate whether it continues to be the appropriate structure for the Company. At this time, the Nominating / Corporate Governance Committee and the Board continue to believe that maintaining this structure is appropriate and beneficial to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Specifically, the Nominating / Corporate Governance Committee and the Board believe that the classified board structure:</w:t>
      </w:r>
    </w:p>
    <w:p>
      <w:pPr>
        <w:spacing w:after="0" w:line="16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promotes stability and continuity, allowing our Board and management to remain focused on our long-term strategic objectives;</w:t>
      </w:r>
    </w:p>
    <w:p>
      <w:pPr>
        <w:spacing w:after="0" w:line="27" w:lineRule="exact"/>
        <w:rPr>
          <w:rFonts w:ascii="Times New Roman" w:cs="Times New Roman" w:eastAsia="Times New Roman" w:hAnsi="Times New Roman"/>
          <w:sz w:val="18"/>
          <w:szCs w:val="18"/>
          <w:color w:val="auto"/>
        </w:rPr>
      </w:pPr>
    </w:p>
    <w:p>
      <w:pPr>
        <w:ind w:left="660" w:right="380" w:hanging="328"/>
        <w:spacing w:after="0" w:line="24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enhances independence of our non-employee directors by decreasing potential pressures from special interest groups or others who may have motives or interests contrary to the creation of sustainable stockholder value; and</w:t>
      </w:r>
    </w:p>
    <w:p>
      <w:pPr>
        <w:spacing w:after="0" w:line="1" w:lineRule="exact"/>
        <w:rPr>
          <w:rFonts w:ascii="Times New Roman" w:cs="Times New Roman" w:eastAsia="Times New Roman" w:hAnsi="Times New Roman"/>
          <w:sz w:val="18"/>
          <w:szCs w:val="18"/>
          <w:color w:val="auto"/>
        </w:rPr>
      </w:pPr>
    </w:p>
    <w:p>
      <w:pPr>
        <w:ind w:left="660" w:right="80" w:hanging="328"/>
        <w:spacing w:after="0" w:line="23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allows for the development of institutional knowledge at the board level, which is particularly important in the pharmaceutical industry, given the multi-year development cycles of our clinical programs.</w:t>
      </w:r>
    </w:p>
    <w:p>
      <w:pPr>
        <w:spacing w:after="0" w:line="172" w:lineRule="exact"/>
        <w:rPr>
          <w:sz w:val="20"/>
          <w:szCs w:val="20"/>
          <w:color w:val="auto"/>
        </w:rPr>
      </w:pPr>
    </w:p>
    <w:p>
      <w:pPr>
        <w:ind w:right="120" w:firstLine="551"/>
        <w:spacing w:after="0" w:line="237" w:lineRule="auto"/>
        <w:rPr>
          <w:sz w:val="20"/>
          <w:szCs w:val="20"/>
          <w:color w:val="auto"/>
        </w:rPr>
      </w:pPr>
      <w:r>
        <w:rPr>
          <w:rFonts w:ascii="Times New Roman" w:cs="Times New Roman" w:eastAsia="Times New Roman" w:hAnsi="Times New Roman"/>
          <w:sz w:val="18"/>
          <w:szCs w:val="18"/>
          <w:color w:val="auto"/>
        </w:rPr>
        <w:t>The Board and the Nominating / Corporate Governance Committee will periodically review and continue to consider whether the classified Board structure aligns with the Company’s long-term strategic objectives.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Overboarding Policy</w:t>
      </w:r>
    </w:p>
    <w:p>
      <w:pPr>
        <w:spacing w:after="0" w:line="2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overboarding policy set forth in our Corporate Governance Guidelines limits directors to a maximum of five public company boards, with</w:t>
      </w:r>
    </w:p>
    <w:p>
      <w:pPr>
        <w:spacing w:after="0" w:line="2"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named executive officers of public companies limited to a maximum of three public company boards and members of the Audit Committee limited to a maximum of three public company audit committees. The Nominating / Corporate Governance Committee reviews our overboarding policy as part of its annual review of our corporate governance practices, which includes the Corporate Governance Guidelines, and compliance with our overboarding policy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reviewed at least annually by the Nominating / Corporate Governance Committee. All directors are currently compliant with our overboarding policy.</w:t>
      </w:r>
    </w:p>
    <w:p>
      <w:pPr>
        <w:spacing w:after="0" w:line="192" w:lineRule="exact"/>
        <w:rPr>
          <w:sz w:val="20"/>
          <w:szCs w:val="20"/>
          <w:color w:val="auto"/>
        </w:rPr>
      </w:pPr>
    </w:p>
    <w:p>
      <w:pPr>
        <w:ind w:firstLine="551"/>
        <w:spacing w:after="0" w:line="222" w:lineRule="auto"/>
        <w:rPr>
          <w:sz w:val="20"/>
          <w:szCs w:val="20"/>
          <w:color w:val="auto"/>
        </w:rPr>
      </w:pPr>
      <w:r>
        <w:rPr>
          <w:rFonts w:ascii="Times New Roman" w:cs="Times New Roman" w:eastAsia="Times New Roman" w:hAnsi="Times New Roman"/>
          <w:sz w:val="18"/>
          <w:szCs w:val="18"/>
          <w:color w:val="auto"/>
        </w:rPr>
        <w:t>Certain proxy advisory firms have adopted overboarding policies, where they will recommend a vote against directors who serve on what the proxy advisory firm believes to be too many boards. Further, certain institutional investors will vote against directors if they believe they are overboarded. These</w:t>
      </w:r>
    </w:p>
    <w:p>
      <w:pPr>
        <w:spacing w:after="0" w:line="2"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policies are generally intended to address concerns that directors on multiple boards may lack sufficient time to perform their board duties effectively. The Nominating / Corporate Governance Committee and the Board acknowledge these concerns, but believe additional factors should be considered in determining whether a director serving on multiple boards should continue to serve on the Company’s Board of Directors. Among other things, the Board</w:t>
      </w:r>
    </w:p>
    <w:p>
      <w:pPr>
        <w:spacing w:after="0" w:line="2" w:lineRule="exact"/>
        <w:rPr>
          <w:sz w:val="20"/>
          <w:szCs w:val="20"/>
          <w:color w:val="auto"/>
        </w:rPr>
      </w:pPr>
    </w:p>
    <w:p>
      <w:pPr>
        <w:ind w:right="120"/>
        <w:spacing w:after="0" w:line="208" w:lineRule="auto"/>
        <w:rPr>
          <w:sz w:val="20"/>
          <w:szCs w:val="20"/>
          <w:color w:val="auto"/>
        </w:rPr>
      </w:pPr>
      <w:r>
        <w:rPr>
          <w:rFonts w:ascii="Times New Roman" w:cs="Times New Roman" w:eastAsia="Times New Roman" w:hAnsi="Times New Roman"/>
          <w:sz w:val="18"/>
          <w:szCs w:val="18"/>
          <w:color w:val="auto"/>
        </w:rPr>
        <w:t>of Directors believe that consideration should be given to the skills and abilities that a director brings to the Board, how a director contributes to the diversity and the overall mix of perspectives and backgrounds on the Board, and whether the director dedicates the appropriate time, attention and energy to his or her director duties. The Board of Directors discusses these considerations generally in connection with its evaluation and assessment process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with both current Board members and director candidates who serve on multiple boards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of our directors comply with our overboarding policy, but certain institutional investors may still consider directors to be overboarded if they</w:t>
      </w:r>
    </w:p>
    <w:p>
      <w:pPr>
        <w:spacing w:after="0" w:line="2" w:lineRule="exact"/>
        <w:rPr>
          <w:sz w:val="20"/>
          <w:szCs w:val="20"/>
          <w:color w:val="auto"/>
        </w:rPr>
      </w:pPr>
    </w:p>
    <w:p>
      <w:pPr>
        <w:jc w:val="both"/>
        <w:ind w:right="380"/>
        <w:spacing w:after="0" w:line="220" w:lineRule="auto"/>
        <w:rPr>
          <w:sz w:val="20"/>
          <w:szCs w:val="20"/>
          <w:color w:val="auto"/>
        </w:rPr>
      </w:pPr>
      <w:r>
        <w:rPr>
          <w:rFonts w:ascii="Times New Roman" w:cs="Times New Roman" w:eastAsia="Times New Roman" w:hAnsi="Times New Roman"/>
          <w:sz w:val="17"/>
          <w:szCs w:val="17"/>
          <w:color w:val="auto"/>
        </w:rPr>
        <w:t>serve on other audit committees or in roles with heightened responsibilities – such as directors serving as executives of other public companies, board chairs, or lead independent directors. In the case of Dr. Rastetter, who serves as our Board chair and as board chair for other companies, we believe his scientific and technical expertise, combined with his business experience in leading rapidly growing companies in the life sciences industry, brings a</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unique, highly relevant and valuable skill set to the Board. Dr. Rastetter has attended every Board of Directors meeting over the last three years and dedicates significant time outside of meetings to engage with, and provide advice and counsel to, members of management. Further, Dr. Rastetter joined the Board in February 2010 and during his tenure as a director, the Company's stock price has increased approximately 5,000% as measured through the</w:t>
      </w:r>
    </w:p>
    <w:p>
      <w:pPr>
        <w:spacing w:after="0" w:line="2" w:lineRule="exact"/>
        <w:rPr>
          <w:sz w:val="20"/>
          <w:szCs w:val="20"/>
          <w:color w:val="auto"/>
        </w:rPr>
      </w:pPr>
    </w:p>
    <w:p>
      <w:pPr>
        <w:ind w:right="100"/>
        <w:spacing w:after="0" w:line="220" w:lineRule="auto"/>
        <w:rPr>
          <w:sz w:val="20"/>
          <w:szCs w:val="20"/>
          <w:color w:val="auto"/>
        </w:rPr>
      </w:pPr>
      <w:r>
        <w:rPr>
          <w:rFonts w:ascii="Times New Roman" w:cs="Times New Roman" w:eastAsia="Times New Roman" w:hAnsi="Times New Roman"/>
          <w:sz w:val="17"/>
          <w:szCs w:val="17"/>
          <w:color w:val="auto"/>
        </w:rPr>
        <w:t>Record Date. Ms. Poon was appointed to our Board in July 2023 and also currently serves on the Boards of Directors of Prudential Financial, Inc., Regeneron Pharmaceuticals, Inc., where she serves as the lead independent director, and The Sherwin-Williams Company. Ms. Poon brings deep strategic knowledge of the pharmaceutical industry to our Board as she previously served as Vice Chair and Worldwide Chair of Pharmaceuticals at Johnson and &amp;</w:t>
      </w:r>
    </w:p>
    <w:p>
      <w:pPr>
        <w:spacing w:after="0" w:line="2"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7"/>
          <w:szCs w:val="17"/>
          <w:color w:val="auto"/>
        </w:rPr>
        <w:t>Johnson. She also has broad expertise in pharmaceutical operations, including capital allocation decisions, as a result of her 30-year career in the healthcare industry. Upon her appointment to the Board, Ms. Poon did not immediately join any committees to ensure a smooth onboarding process and to provide the Board with an opportunity to evaluate her other time commitments. After a series of discussions with Ms. Poon over the course of several months and</w:t>
      </w:r>
    </w:p>
    <w:p>
      <w:pPr>
        <w:spacing w:after="0" w:line="2" w:lineRule="exact"/>
        <w:rPr>
          <w:sz w:val="20"/>
          <w:szCs w:val="20"/>
          <w:color w:val="auto"/>
        </w:rPr>
      </w:pPr>
    </w:p>
    <w:p>
      <w:pPr>
        <w:ind w:right="380"/>
        <w:spacing w:after="0" w:line="226" w:lineRule="auto"/>
        <w:rPr>
          <w:sz w:val="20"/>
          <w:szCs w:val="20"/>
          <w:color w:val="auto"/>
        </w:rPr>
      </w:pPr>
      <w:r>
        <w:rPr>
          <w:rFonts w:ascii="Times New Roman" w:cs="Times New Roman" w:eastAsia="Times New Roman" w:hAnsi="Times New Roman"/>
          <w:sz w:val="18"/>
          <w:szCs w:val="18"/>
          <w:color w:val="auto"/>
        </w:rPr>
        <w:t>taking into account her exceptional experience and the Company’s evolving needs, Ms. Poon joined the Audit Committee and Nominating / Corporate Governance Committee in February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 During 2023</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of Directors held a total of eight meetings during 2023. For 2023, the Board of Directors had an Audit Committee, a Compensation</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 xml:space="preserve">Committee, and a Nominating / Corporate Governance Committee. Charters for each of these committees have been established and approved by the Board of Directors and current copies of the charters for each of the committees have been posted on the Company’s website at </w:t>
      </w:r>
      <w:r>
        <w:rPr>
          <w:rFonts w:ascii="Times New Roman" w:cs="Times New Roman" w:eastAsia="Times New Roman" w:hAnsi="Times New Roman"/>
          <w:sz w:val="17"/>
          <w:szCs w:val="17"/>
          <w:i w:val="1"/>
          <w:iCs w:val="1"/>
          <w:color w:val="auto"/>
        </w:rPr>
        <w:t>www.neurocrine.com.</w:t>
      </w:r>
      <w:r>
        <w:rPr>
          <w:rFonts w:ascii="Times New Roman" w:cs="Times New Roman" w:eastAsia="Times New Roman" w:hAnsi="Times New Roman"/>
          <w:sz w:val="17"/>
          <w:szCs w:val="17"/>
          <w:color w:val="auto"/>
        </w:rPr>
        <w:t xml:space="preserve"> During 2023, no director attended fewer than 75% of the aggregate of the total meetings of the Board of Directors and no director attended fewer than 75%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number of meetings held by any committee of the Board of Directors on which such director served.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Board Committees</w:t>
      </w:r>
    </w:p>
    <w:p>
      <w:pPr>
        <w:spacing w:after="0" w:line="229" w:lineRule="exact"/>
        <w:rPr>
          <w:sz w:val="20"/>
          <w:szCs w:val="20"/>
          <w:color w:val="auto"/>
        </w:rPr>
      </w:pPr>
    </w:p>
    <w:p>
      <w:pPr>
        <w:ind w:right="320" w:firstLine="551"/>
        <w:spacing w:after="0" w:line="250" w:lineRule="auto"/>
        <w:rPr>
          <w:sz w:val="20"/>
          <w:szCs w:val="20"/>
          <w:color w:val="auto"/>
        </w:rPr>
      </w:pPr>
      <w:r>
        <w:rPr>
          <w:rFonts w:ascii="Times New Roman" w:cs="Times New Roman" w:eastAsia="Times New Roman" w:hAnsi="Times New Roman"/>
          <w:sz w:val="18"/>
          <w:szCs w:val="18"/>
          <w:color w:val="auto"/>
        </w:rPr>
        <w:t>The table below provides membership information for each of the committees of the Board during 2023. In February 2024, our Board approved revisions to the membership of our committees (see page 22 for our Board's current committee membership).</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Committee Composition</w:t>
      </w:r>
    </w:p>
    <w:p>
      <w:pPr>
        <w:spacing w:after="0" w:line="245"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Committee</w:t>
            </w:r>
          </w:p>
        </w:tc>
        <w:tc>
          <w:tcPr>
            <w:tcW w:w="2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 of Director</w:t>
            </w:r>
          </w:p>
        </w:tc>
        <w:tc>
          <w:tcPr>
            <w:tcW w:w="2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Audit</w:t>
            </w:r>
          </w:p>
        </w:tc>
        <w:tc>
          <w:tcPr>
            <w:tcW w:w="23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22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Nominating /</w:t>
            </w:r>
          </w:p>
        </w:tc>
        <w:tc>
          <w:tcPr>
            <w:tcW w:w="0" w:type="dxa"/>
            <w:vAlign w:val="bottom"/>
          </w:tcPr>
          <w:p>
            <w:pPr>
              <w:spacing w:after="0"/>
              <w:rPr>
                <w:sz w:val="1"/>
                <w:szCs w:val="1"/>
                <w:color w:val="auto"/>
              </w:rPr>
            </w:pPr>
          </w:p>
        </w:tc>
      </w:tr>
      <w:tr>
        <w:trPr>
          <w:trHeight w:val="214"/>
        </w:trPr>
        <w:tc>
          <w:tcPr>
            <w:tcW w:w="3860" w:type="dxa"/>
            <w:vAlign w:val="bottom"/>
            <w:gridSpan w:val="2"/>
            <w:vMerge w:val="continue"/>
          </w:tcPr>
          <w:p>
            <w:pPr>
              <w:spacing w:after="0"/>
              <w:rPr>
                <w:sz w:val="18"/>
                <w:szCs w:val="18"/>
                <w:color w:val="auto"/>
              </w:rPr>
            </w:pPr>
          </w:p>
        </w:tc>
        <w:tc>
          <w:tcPr>
            <w:tcW w:w="2340" w:type="dxa"/>
            <w:vAlign w:val="bottom"/>
            <w:gridSpan w:val="2"/>
            <w:vMerge w:val="continue"/>
          </w:tcPr>
          <w:p>
            <w:pPr>
              <w:spacing w:after="0"/>
              <w:rPr>
                <w:sz w:val="18"/>
                <w:szCs w:val="18"/>
                <w:color w:val="auto"/>
              </w:rPr>
            </w:pPr>
          </w:p>
        </w:tc>
        <w:tc>
          <w:tcPr>
            <w:tcW w:w="2340" w:type="dxa"/>
            <w:vAlign w:val="bottom"/>
            <w:gridSpan w:val="2"/>
            <w:vMerge w:val="continue"/>
          </w:tcPr>
          <w:p>
            <w:pPr>
              <w:spacing w:after="0"/>
              <w:rPr>
                <w:sz w:val="18"/>
                <w:szCs w:val="18"/>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Corporate Governance</w:t>
            </w:r>
          </w:p>
        </w:tc>
        <w:tc>
          <w:tcPr>
            <w:tcW w:w="0" w:type="dxa"/>
            <w:vAlign w:val="bottom"/>
          </w:tcPr>
          <w:p>
            <w:pPr>
              <w:spacing w:after="0"/>
              <w:rPr>
                <w:sz w:val="1"/>
                <w:szCs w:val="1"/>
                <w:color w:val="auto"/>
              </w:rPr>
            </w:pPr>
          </w:p>
        </w:tc>
      </w:tr>
      <w:tr>
        <w:trPr>
          <w:trHeight w:val="211"/>
        </w:trPr>
        <w:tc>
          <w:tcPr>
            <w:tcW w:w="37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William H. Rastetter, Ph.D. (Board Chair)</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Kevin C. Gorman, Ph.D.</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Gary A. Lyons</w:t>
            </w:r>
          </w:p>
        </w:tc>
        <w:tc>
          <w:tcPr>
            <w:tcW w:w="2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Johanna Mercier</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MEMBER</w:t>
            </w: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George J. Morrow</w:t>
            </w:r>
          </w:p>
        </w:tc>
        <w:tc>
          <w:tcPr>
            <w:tcW w:w="2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MEMBER</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MEMBER</w:t>
            </w:r>
          </w:p>
        </w:tc>
        <w:tc>
          <w:tcPr>
            <w:tcW w:w="0" w:type="dxa"/>
            <w:vAlign w:val="bottom"/>
          </w:tcPr>
          <w:p>
            <w:pPr>
              <w:spacing w:after="0"/>
              <w:rPr>
                <w:sz w:val="1"/>
                <w:szCs w:val="1"/>
                <w:color w:val="auto"/>
              </w:rPr>
            </w:pPr>
          </w:p>
        </w:tc>
      </w:tr>
      <w:tr>
        <w:trPr>
          <w:trHeight w:val="213"/>
        </w:trPr>
        <w:tc>
          <w:tcPr>
            <w:tcW w:w="38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Leslie V. Norwalk</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CHAIR</w:t>
            </w: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Christine A. Poon</w:t>
            </w:r>
          </w:p>
        </w:tc>
        <w:tc>
          <w:tcPr>
            <w:tcW w:w="2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Richard F. Pops</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MEMBER</w:t>
            </w:r>
          </w:p>
        </w:tc>
        <w:tc>
          <w:tcPr>
            <w:tcW w:w="23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CHAIR</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Shalini Sharp</w:t>
            </w: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CHAIR</w:t>
            </w:r>
          </w:p>
        </w:tc>
        <w:tc>
          <w:tcPr>
            <w:tcW w:w="2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MEMBER</w:t>
            </w: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Stephen A. Sherwin, M.D.</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MEMBER</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MEMBER</w:t>
            </w:r>
          </w:p>
        </w:tc>
        <w:tc>
          <w:tcPr>
            <w:tcW w:w="0" w:type="dxa"/>
            <w:vAlign w:val="bottom"/>
          </w:tcPr>
          <w:p>
            <w:pPr>
              <w:spacing w:after="0"/>
              <w:rPr>
                <w:sz w:val="1"/>
                <w:szCs w:val="1"/>
                <w:color w:val="auto"/>
              </w:rPr>
            </w:pPr>
          </w:p>
        </w:tc>
      </w:tr>
    </w:tbl>
    <w:p>
      <w:pPr>
        <w:spacing w:after="0" w:line="284" w:lineRule="exact"/>
        <w:rPr>
          <w:sz w:val="20"/>
          <w:szCs w:val="20"/>
          <w:color w:val="auto"/>
        </w:rPr>
      </w:pPr>
    </w:p>
    <w:p>
      <w:pPr>
        <w:jc w:val="both"/>
        <w:ind w:right="200" w:firstLine="551"/>
        <w:spacing w:after="0" w:line="236" w:lineRule="auto"/>
        <w:rPr>
          <w:sz w:val="20"/>
          <w:szCs w:val="20"/>
          <w:color w:val="auto"/>
        </w:rPr>
      </w:pPr>
      <w:r>
        <w:rPr>
          <w:rFonts w:ascii="Times New Roman" w:cs="Times New Roman" w:eastAsia="Times New Roman" w:hAnsi="Times New Roman"/>
          <w:sz w:val="17"/>
          <w:szCs w:val="17"/>
          <w:color w:val="auto"/>
        </w:rPr>
        <w:t>The Company’s Audit Committee is comprised entirely of directors who meet the independence requirements set forth in Nasdaq Stock Market Rule 5605(c)(2)(A). Information regarding the functions performed by the committee, its membership, and the number of meetings held during the fiscal</w:t>
      </w:r>
    </w:p>
    <w:p>
      <w:pPr>
        <w:ind w:right="80"/>
        <w:spacing w:after="0" w:line="208" w:lineRule="auto"/>
        <w:rPr>
          <w:sz w:val="20"/>
          <w:szCs w:val="20"/>
          <w:color w:val="auto"/>
        </w:rPr>
      </w:pPr>
      <w:r>
        <w:rPr>
          <w:rFonts w:ascii="Times New Roman" w:cs="Times New Roman" w:eastAsia="Times New Roman" w:hAnsi="Times New Roman"/>
          <w:sz w:val="18"/>
          <w:szCs w:val="18"/>
          <w:color w:val="auto"/>
        </w:rPr>
        <w:t>year is set forth in the “Report of the Audit Committee,” included in this Proxy Statement. The members of the Audit Committee for 2023 were Richard F. Pops, Shalini Sharp, and Stephen A. Sherwin, M.D., with Ms. Sharp serving as the Audit Committee Chair. The Board of Directors has determined that Mr. Pops, Ms. Sharp, and Dr. Sherwin are “audit committee financial experts” within the meaning of item 407(d)(5) of SEC Regulation S-K. This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met five times during 2023.</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Company’s Compensation Committee consists of directors George J. Morrow, Richard F. Pops, and Shalini Sharp, with Mr. Pops serving as the</w:t>
      </w:r>
    </w:p>
    <w:p>
      <w:pPr>
        <w:spacing w:after="0" w:line="14" w:lineRule="exact"/>
        <w:rPr>
          <w:sz w:val="20"/>
          <w:szCs w:val="20"/>
          <w:color w:val="auto"/>
        </w:rPr>
      </w:pPr>
    </w:p>
    <w:p>
      <w:pPr>
        <w:jc w:val="both"/>
        <w:ind w:right="40"/>
        <w:spacing w:after="0" w:line="220" w:lineRule="auto"/>
        <w:rPr>
          <w:sz w:val="20"/>
          <w:szCs w:val="20"/>
          <w:color w:val="auto"/>
        </w:rPr>
      </w:pPr>
      <w:r>
        <w:rPr>
          <w:rFonts w:ascii="Times New Roman" w:cs="Times New Roman" w:eastAsia="Times New Roman" w:hAnsi="Times New Roman"/>
          <w:sz w:val="17"/>
          <w:szCs w:val="17"/>
          <w:color w:val="auto"/>
        </w:rPr>
        <w:t>Compensation Committee Chair. The Compensation Committee reviews and recommends to the Board of Directors the compensation of executive officers and other employees of the Company. Under its charter, the Compensation Committee may form, and delegate authority to, subcommittees as appropriate. Each of the current members of the Compensation Committee is an “independent director” as defined by Nasdaq Stock Market Rule 5605(a)(2). This</w:t>
      </w:r>
    </w:p>
    <w:p>
      <w:pPr>
        <w:spacing w:after="0" w:line="2" w:lineRule="exact"/>
        <w:rPr>
          <w:sz w:val="20"/>
          <w:szCs w:val="20"/>
          <w:color w:val="auto"/>
        </w:rPr>
      </w:pPr>
    </w:p>
    <w:p>
      <w:pPr>
        <w:ind w:right="540"/>
        <w:spacing w:after="0" w:line="226" w:lineRule="auto"/>
        <w:rPr>
          <w:sz w:val="20"/>
          <w:szCs w:val="20"/>
          <w:color w:val="auto"/>
        </w:rPr>
      </w:pPr>
      <w:r>
        <w:rPr>
          <w:rFonts w:ascii="Times New Roman" w:cs="Times New Roman" w:eastAsia="Times New Roman" w:hAnsi="Times New Roman"/>
          <w:sz w:val="18"/>
          <w:szCs w:val="18"/>
          <w:color w:val="auto"/>
        </w:rPr>
        <w:t>committee met seven times during 2023. Please also refer to “Role of the Compensation Committee” section under the section titled “Compensation Discussion and Analysis” for additional information regarding the role of the Compensation Committee.</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During 2023, the Company’s Nominating / Corporate Governance Committee consisted of directors Johanna Mercier, George J. Morrow, and Leslie</w:t>
      </w:r>
    </w:p>
    <w:p>
      <w:pPr>
        <w:spacing w:after="0" w:line="14" w:lineRule="exact"/>
        <w:rPr>
          <w:sz w:val="20"/>
          <w:szCs w:val="20"/>
          <w:color w:val="auto"/>
        </w:rPr>
      </w:pPr>
    </w:p>
    <w:p>
      <w:pPr>
        <w:ind w:right="140"/>
        <w:spacing w:after="0" w:line="208" w:lineRule="auto"/>
        <w:rPr>
          <w:sz w:val="20"/>
          <w:szCs w:val="20"/>
          <w:color w:val="auto"/>
        </w:rPr>
      </w:pPr>
      <w:r>
        <w:rPr>
          <w:rFonts w:ascii="Times New Roman" w:cs="Times New Roman" w:eastAsia="Times New Roman" w:hAnsi="Times New Roman"/>
          <w:sz w:val="18"/>
          <w:szCs w:val="18"/>
          <w:color w:val="auto"/>
        </w:rPr>
        <w:t>V. Norwalk, and Stephen A. Sherwin, M.D., with Ms. Norwalk serving as the Nominating / Corporate Governance Committee Chair. Ms. Mercier, Mr. Morrow, Ms. Norwalk, and Dr. Sherwin, are all “independent directors” as defined by Nasdaq Stock Market Rule 5605(a)(2). The Nominating / Corporate Governance Committee is responsible for recommending nominees for election to the Board of Directors, succession planning, developing and</w:t>
      </w:r>
    </w:p>
    <w:p>
      <w:pPr>
        <w:spacing w:after="0" w:line="2" w:lineRule="exact"/>
        <w:rPr>
          <w:sz w:val="20"/>
          <w:szCs w:val="20"/>
          <w:color w:val="auto"/>
        </w:rPr>
      </w:pPr>
    </w:p>
    <w:p>
      <w:pPr>
        <w:jc w:val="both"/>
        <w:ind w:right="60"/>
        <w:spacing w:after="0" w:line="208" w:lineRule="auto"/>
        <w:rPr>
          <w:sz w:val="20"/>
          <w:szCs w:val="20"/>
          <w:color w:val="auto"/>
        </w:rPr>
      </w:pPr>
      <w:r>
        <w:rPr>
          <w:rFonts w:ascii="Times New Roman" w:cs="Times New Roman" w:eastAsia="Times New Roman" w:hAnsi="Times New Roman"/>
          <w:sz w:val="18"/>
          <w:szCs w:val="18"/>
          <w:color w:val="auto"/>
        </w:rPr>
        <w:t>implementing policies and practices relating to corporate governance, and providing oversight with respect to the following matters: sustainability matters, supply chain risk, quality systems and drug safety. The Nominating / Corporate Governance Committee also administers the Company’s Code of Business Conduct and Ethics (the “Code”), which applies to all of the Company’s officers, directors and employees, and is available on the Company’s website</w:t>
      </w:r>
    </w:p>
    <w:p>
      <w:pPr>
        <w:spacing w:after="0" w:line="2" w:lineRule="exact"/>
        <w:rPr>
          <w:sz w:val="20"/>
          <w:szCs w:val="20"/>
          <w:color w:val="auto"/>
        </w:rPr>
      </w:pPr>
    </w:p>
    <w:p>
      <w:pPr>
        <w:ind w:right="120"/>
        <w:spacing w:after="0" w:line="207" w:lineRule="auto"/>
        <w:rPr>
          <w:sz w:val="20"/>
          <w:szCs w:val="20"/>
          <w:color w:val="auto"/>
        </w:rPr>
      </w:pP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8"/>
          <w:szCs w:val="18"/>
          <w:i w:val="1"/>
          <w:iCs w:val="1"/>
          <w:color w:val="auto"/>
        </w:rPr>
        <w:t>www.neurocrine.com.</w:t>
      </w:r>
      <w:r>
        <w:rPr>
          <w:rFonts w:ascii="Times New Roman" w:cs="Times New Roman" w:eastAsia="Times New Roman" w:hAnsi="Times New Roman"/>
          <w:sz w:val="18"/>
          <w:szCs w:val="18"/>
          <w:color w:val="auto"/>
        </w:rPr>
        <w:t xml:space="preserve"> If we make any substantive amendments to the Code or grant any waiver from a provision of the Code to any executive officer or director, we will promptly disclose the nature of the amendment or waiver on our website or in a current report on Form 8-K. The functions of this committee also include consideration of the composition of the Board of Directors and recommendation of individuals for election as directors of the Company. The Nominating / Corporate Governance Committee will consider nominees recommended by stockholders, provided such nominations 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pursuant to the Company’s bylaws and applicable law. This committee met four times during 2023.</w:t>
      </w:r>
    </w:p>
    <w:p>
      <w:pPr>
        <w:spacing w:after="0" w:line="192" w:lineRule="exact"/>
        <w:rPr>
          <w:sz w:val="20"/>
          <w:szCs w:val="20"/>
          <w:color w:val="auto"/>
        </w:rPr>
      </w:pPr>
    </w:p>
    <w:p>
      <w:pPr>
        <w:ind w:right="40" w:firstLine="551"/>
        <w:spacing w:after="0" w:line="236" w:lineRule="auto"/>
        <w:rPr>
          <w:sz w:val="20"/>
          <w:szCs w:val="20"/>
          <w:color w:val="auto"/>
        </w:rPr>
      </w:pPr>
      <w:r>
        <w:rPr>
          <w:rFonts w:ascii="Times New Roman" w:cs="Times New Roman" w:eastAsia="Times New Roman" w:hAnsi="Times New Roman"/>
          <w:sz w:val="17"/>
          <w:szCs w:val="17"/>
          <w:color w:val="auto"/>
        </w:rPr>
        <w:t>In January 2024, the Board formed the Science and Medical Technology Committee, which provides oversight of significant scientific judgments relating to the Company’s research and development, including clinical development, activities, portfolio, and potential business development transactions.</w:t>
      </w:r>
    </w:p>
    <w:p>
      <w:pPr>
        <w:ind w:right="20"/>
        <w:spacing w:after="0" w:line="226" w:lineRule="auto"/>
        <w:rPr>
          <w:sz w:val="20"/>
          <w:szCs w:val="20"/>
          <w:color w:val="auto"/>
        </w:rPr>
      </w:pPr>
      <w:r>
        <w:rPr>
          <w:rFonts w:ascii="Times New Roman" w:cs="Times New Roman" w:eastAsia="Times New Roman" w:hAnsi="Times New Roman"/>
          <w:sz w:val="18"/>
          <w:szCs w:val="18"/>
          <w:color w:val="auto"/>
        </w:rPr>
        <w:t>The Science and Medical Technology Committee consists of directors Stephen A. Sherwin, M.D., William H. Rastetter, Ph.D., Gary A. Lyons, and Richard F. Pops, with Dr. Sherwin serving as the Science and Medical Technology Committee Chair.</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Although Dr. Rastetter was not a member of any Board Committee in 2023, as Board Chair he attended most Board committee meetings.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89" w:lineRule="exact"/>
        <w:rPr>
          <w:sz w:val="20"/>
          <w:szCs w:val="20"/>
          <w:color w:val="auto"/>
        </w:rPr>
      </w:pPr>
    </w:p>
    <w:p>
      <w:pPr>
        <w:ind w:right="260" w:firstLine="551"/>
        <w:spacing w:after="0" w:line="263" w:lineRule="auto"/>
        <w:rPr>
          <w:sz w:val="20"/>
          <w:szCs w:val="20"/>
          <w:color w:val="auto"/>
        </w:rPr>
      </w:pPr>
      <w:r>
        <w:rPr>
          <w:rFonts w:ascii="Times New Roman" w:cs="Times New Roman" w:eastAsia="Times New Roman" w:hAnsi="Times New Roman"/>
          <w:sz w:val="17"/>
          <w:szCs w:val="17"/>
          <w:color w:val="auto"/>
        </w:rPr>
        <w:t>During 2023, the Compensation Committee consisted of George J. Morrow, Richard F. Pops, and Shalini Sharp. No interlocking relationship existed between any member of the Compensation Committee and any member of any other company’s Board of Directors or compensation committee.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selecting non-incumbent candidates and reviewing the qualifications of incumbent candidates for the Board of Directors, the Nominating /</w:t>
      </w:r>
    </w:p>
    <w:p>
      <w:pPr>
        <w:spacing w:after="0"/>
        <w:rPr>
          <w:sz w:val="20"/>
          <w:szCs w:val="20"/>
          <w:color w:val="auto"/>
        </w:rPr>
      </w:pPr>
      <w:r>
        <w:rPr>
          <w:rFonts w:ascii="Times New Roman" w:cs="Times New Roman" w:eastAsia="Times New Roman" w:hAnsi="Times New Roman"/>
          <w:sz w:val="18"/>
          <w:szCs w:val="18"/>
          <w:color w:val="auto"/>
        </w:rPr>
        <w:t>Corporate Governance Committee considers the Company’s corporate governance principles, which include the following:</w:t>
      </w:r>
    </w:p>
    <w:p>
      <w:pPr>
        <w:spacing w:after="0" w:line="178" w:lineRule="exact"/>
        <w:rPr>
          <w:sz w:val="20"/>
          <w:szCs w:val="20"/>
          <w:color w:val="auto"/>
        </w:rPr>
      </w:pPr>
    </w:p>
    <w:p>
      <w:pPr>
        <w:ind w:left="1100" w:hanging="314"/>
        <w:spacing w:after="0" w:line="224" w:lineRule="auto"/>
        <w:tabs>
          <w:tab w:leader="none" w:pos="101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should possess the highest ethics, integrity and values, and be committed to representing the long-term interest of the stockholders. They also must have experience they can draw upon to help direct the business strategies of the Company together with sound judgment. They must be actively engaged in the pursuit of information relevant to the Company’s business and must constructively engage their fellow Board members and management in dialogue and the decision-making process.</w:t>
      </w:r>
    </w:p>
    <w:p>
      <w:pPr>
        <w:spacing w:after="0" w:line="1" w:lineRule="exact"/>
        <w:rPr>
          <w:rFonts w:ascii="Times New Roman" w:cs="Times New Roman" w:eastAsia="Times New Roman" w:hAnsi="Times New Roman"/>
          <w:sz w:val="18"/>
          <w:szCs w:val="18"/>
          <w:color w:val="auto"/>
        </w:rPr>
      </w:pPr>
    </w:p>
    <w:p>
      <w:pPr>
        <w:ind w:left="1100" w:right="280" w:hanging="314"/>
        <w:spacing w:after="0" w:line="234" w:lineRule="auto"/>
        <w:tabs>
          <w:tab w:leader="none" w:pos="101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must be willing to devote sufficient time to carrying out their duties and responsibilities effectively, and should be committed to serve on the Board of Directors for an extended period of time.</w:t>
      </w:r>
    </w:p>
    <w:p>
      <w:pPr>
        <w:spacing w:after="0" w:line="10" w:lineRule="exact"/>
        <w:rPr>
          <w:rFonts w:ascii="Times New Roman" w:cs="Times New Roman" w:eastAsia="Times New Roman" w:hAnsi="Times New Roman"/>
          <w:sz w:val="18"/>
          <w:szCs w:val="18"/>
          <w:color w:val="auto"/>
        </w:rPr>
      </w:pPr>
    </w:p>
    <w:p>
      <w:pPr>
        <w:ind w:left="1100" w:hanging="314"/>
        <w:spacing w:after="0" w:line="226" w:lineRule="auto"/>
        <w:tabs>
          <w:tab w:leader="none" w:pos="101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should notify the Chairman of the Board and Chairman of the Nominating / Corporate Governance Committee in the event of any significant change in their employment responsibilities or affiliations. Director nominees should meet the director qualification requirements set forth in the Company’s Corporate Governance Guidelines.</w:t>
      </w:r>
    </w:p>
    <w:p>
      <w:pPr>
        <w:spacing w:after="0" w:line="9" w:lineRule="exact"/>
        <w:rPr>
          <w:rFonts w:ascii="Times New Roman" w:cs="Times New Roman" w:eastAsia="Times New Roman" w:hAnsi="Times New Roman"/>
          <w:sz w:val="18"/>
          <w:szCs w:val="18"/>
          <w:color w:val="auto"/>
        </w:rPr>
      </w:pPr>
    </w:p>
    <w:p>
      <w:pPr>
        <w:ind w:left="1100" w:right="220" w:hanging="314"/>
        <w:spacing w:after="0" w:line="220" w:lineRule="auto"/>
        <w:tabs>
          <w:tab w:leader="none" w:pos="101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evaluating director nominees, the Nominating / Corporate Governance Committee considers the following factors: personal and professional integrity, ethics and values including any potential conflicts of interest; experience in corporate management and the biopharmaceutical industry, such as serving as an officer or former officer of a publicly held company; gender and ethnic diversity; experience as a board member of another publicly held company; and additionally, for nominees seeking re-election, meeting attendance, gender and ethnic diversity, and participation and compliance with Company policies.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It is the Company’s policy to have a diversity of skills, professional experience, education, associations, achievements, training, points of view and</w:t>
      </w:r>
    </w:p>
    <w:p>
      <w:pPr>
        <w:spacing w:after="0" w:line="2"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individual qualities and attributes represented on the Board of Directors. The Nominating / Corporate Governance Committee considers the diversity of the Board of Directors, including self-identified diversity characteristics, when assessing board composition and evaluating candidates for election or re-election to the Board of Directors.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0" w:firstLine="551"/>
        <w:spacing w:after="0" w:line="250" w:lineRule="auto"/>
        <w:rPr>
          <w:sz w:val="20"/>
          <w:szCs w:val="20"/>
          <w:color w:val="auto"/>
        </w:rPr>
      </w:pPr>
      <w:r>
        <w:rPr>
          <w:rFonts w:ascii="Times New Roman" w:cs="Times New Roman" w:eastAsia="Times New Roman" w:hAnsi="Times New Roman"/>
          <w:sz w:val="18"/>
          <w:szCs w:val="18"/>
          <w:color w:val="auto"/>
        </w:rPr>
        <w:t>The Nominating / Corporate Governance Committee’s goal is to assemble a Board of Directors that brings to the Company a variety of perspectives and skills derived from high quality business and professional experience.</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Diversity Matrix, below, provides the diversity statistics for our Board of Directors as of the date of this Proxy Statement.</w:t>
      </w: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31" w:lineRule="exact"/>
        <w:rPr>
          <w:sz w:val="20"/>
          <w:szCs w:val="20"/>
          <w:color w:val="auto"/>
        </w:rPr>
      </w:pPr>
    </w:p>
    <w:tbl>
      <w:tblPr>
        <w:tblLayout w:type="fixed"/>
        <w:tblInd w:w="80" w:type="dxa"/>
        <w:tblCellMar>
          <w:top w:w="0" w:type="dxa"/>
          <w:left w:w="0" w:type="dxa"/>
          <w:bottom w:w="0" w:type="dxa"/>
          <w:right w:w="0" w:type="dxa"/>
        </w:tblCellMar>
      </w:tblPr>
      <w:tr>
        <w:trPr>
          <w:trHeight w:val="223"/>
        </w:trPr>
        <w:tc>
          <w:tcPr>
            <w:tcW w:w="850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1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Male</w:t>
            </w:r>
          </w:p>
        </w:tc>
      </w:tr>
      <w:tr>
        <w:trPr>
          <w:trHeight w:val="223"/>
        </w:trPr>
        <w:tc>
          <w:tcPr>
            <w:tcW w:w="8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10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 I: Gender Identity</w:t>
            </w:r>
          </w:p>
        </w:tc>
        <w:tc>
          <w:tcPr>
            <w:tcW w:w="10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85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Directors</w:t>
            </w:r>
          </w:p>
        </w:tc>
        <w:tc>
          <w:tcPr>
            <w:tcW w:w="106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4</w:t>
            </w:r>
          </w:p>
        </w:tc>
        <w:tc>
          <w:tcPr>
            <w:tcW w:w="154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88"/>
              </w:rPr>
              <w:t>6</w:t>
            </w:r>
          </w:p>
        </w:tc>
      </w:tr>
      <w:tr>
        <w:trPr>
          <w:trHeight w:val="229"/>
        </w:trPr>
        <w:tc>
          <w:tcPr>
            <w:tcW w:w="8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 II: Demographic Background</w:t>
            </w:r>
          </w:p>
        </w:tc>
        <w:tc>
          <w:tcPr>
            <w:tcW w:w="10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85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Asian</w:t>
            </w:r>
          </w:p>
        </w:tc>
        <w:tc>
          <w:tcPr>
            <w:tcW w:w="106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85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White</w:t>
            </w:r>
          </w:p>
        </w:tc>
        <w:tc>
          <w:tcPr>
            <w:tcW w:w="10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88"/>
              </w:rPr>
              <w:t>6</w:t>
            </w:r>
          </w:p>
        </w:tc>
      </w:tr>
    </w:tbl>
    <w:p>
      <w:pPr>
        <w:spacing w:after="0" w:line="274" w:lineRule="exact"/>
        <w:rPr>
          <w:sz w:val="20"/>
          <w:szCs w:val="20"/>
          <w:color w:val="auto"/>
        </w:rPr>
      </w:pPr>
    </w:p>
    <w:p>
      <w:pPr>
        <w:jc w:val="both"/>
        <w:ind w:right="100" w:firstLine="551"/>
        <w:spacing w:after="0" w:line="236" w:lineRule="auto"/>
        <w:rPr>
          <w:sz w:val="20"/>
          <w:szCs w:val="20"/>
          <w:color w:val="auto"/>
        </w:rPr>
      </w:pPr>
      <w:r>
        <w:rPr>
          <w:rFonts w:ascii="Times New Roman" w:cs="Times New Roman" w:eastAsia="Times New Roman" w:hAnsi="Times New Roman"/>
          <w:sz w:val="17"/>
          <w:szCs w:val="17"/>
          <w:color w:val="auto"/>
        </w:rPr>
        <w:t>In addition to the foregoing, the Nominating / Corporate Governance Committee Charter and Corporate Governance Guidelines set forth minimum criteria for director nominees. The Nominating / Corporate Governance Committee may also consider such other facts as it may deem are in the best</w:t>
      </w:r>
    </w:p>
    <w:p>
      <w:pPr>
        <w:ind w:right="180"/>
        <w:spacing w:after="0" w:line="220" w:lineRule="auto"/>
        <w:rPr>
          <w:sz w:val="20"/>
          <w:szCs w:val="20"/>
          <w:color w:val="auto"/>
        </w:rPr>
      </w:pPr>
      <w:r>
        <w:rPr>
          <w:rFonts w:ascii="Times New Roman" w:cs="Times New Roman" w:eastAsia="Times New Roman" w:hAnsi="Times New Roman"/>
          <w:sz w:val="17"/>
          <w:szCs w:val="17"/>
          <w:color w:val="auto"/>
        </w:rPr>
        <w:t>interests of the Company and its stockholders. The Nominating / Corporate Governance Committee does believe that several members of the Board of Directors meet the criteria for an “audit committee financial expert” as defined by SEC rules. We believe that all of our directors should have a reputation for honesty, integrity and highest ethical standards, and should demonstrate business acumen, an ability to exercise sound judgment and a commitment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serve the Company.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Self-Assessment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Nominating / Corporate Governance Committee ensures that each member of the Board, the Committees, and the Chair of the Board are</w:t>
      </w:r>
    </w:p>
    <w:p>
      <w:pPr>
        <w:spacing w:after="0" w:line="2"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8"/>
          <w:szCs w:val="18"/>
          <w:color w:val="auto"/>
        </w:rPr>
        <w:t>assessed annually aimed at enhancing effectiveness. Directors complete a number of different evaluations in order to provide performance feedback and suggestions for improved effectiveness or contributions. The assessments are done by way of a questionnaire prepared and distributed by our external corporate counsel, Cooley LLP. The assessments are treated on a confidential basis, with the results tallied on an anonymous basis for review. The results of the evaluation are analyzed by Cooley LLP, our Chief Legal Officer, the Nominating / Corporate Governance Committee, and the Board, who decide</w:t>
      </w:r>
    </w:p>
    <w:p>
      <w:pPr>
        <w:spacing w:after="0" w:line="1" w:lineRule="exact"/>
        <w:rPr>
          <w:sz w:val="20"/>
          <w:szCs w:val="20"/>
          <w:color w:val="auto"/>
        </w:rPr>
      </w:pPr>
    </w:p>
    <w:p>
      <w:pPr>
        <w:ind w:right="260"/>
        <w:spacing w:after="0" w:line="226" w:lineRule="auto"/>
        <w:rPr>
          <w:sz w:val="20"/>
          <w:szCs w:val="20"/>
          <w:color w:val="auto"/>
        </w:rPr>
      </w:pPr>
      <w:r>
        <w:rPr>
          <w:rFonts w:ascii="Times New Roman" w:cs="Times New Roman" w:eastAsia="Times New Roman" w:hAnsi="Times New Roman"/>
          <w:sz w:val="18"/>
          <w:szCs w:val="18"/>
          <w:color w:val="auto"/>
        </w:rPr>
        <w:t>whether any changes are needed to the Board’s processes, procedures, composition or Committee structure. The evaluation carried out in 2023 indicated that all individuals and groups were effectively fulfilling their responsibilities.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Education</w:t>
      </w:r>
    </w:p>
    <w:p>
      <w:pPr>
        <w:spacing w:after="0" w:line="202" w:lineRule="exact"/>
        <w:rPr>
          <w:sz w:val="20"/>
          <w:szCs w:val="20"/>
          <w:color w:val="auto"/>
        </w:rPr>
      </w:pPr>
    </w:p>
    <w:p>
      <w:pPr>
        <w:ind w:right="80" w:firstLine="551"/>
        <w:spacing w:after="0" w:line="229" w:lineRule="auto"/>
        <w:rPr>
          <w:sz w:val="20"/>
          <w:szCs w:val="20"/>
          <w:color w:val="auto"/>
        </w:rPr>
      </w:pPr>
      <w:r>
        <w:rPr>
          <w:rFonts w:ascii="Times New Roman" w:cs="Times New Roman" w:eastAsia="Times New Roman" w:hAnsi="Times New Roman"/>
          <w:sz w:val="17"/>
          <w:szCs w:val="17"/>
          <w:color w:val="auto"/>
        </w:rPr>
        <w:t>The Board recognizes the importance of ongoing director education. In order to facilitate the Board’s educational development, the Board regularly meets with management and are given periodic presentations on our business and recent business developments. When the Board meets in person, Members of the Board also attend dinners on the evening before regularly scheduled Board meetings. Generally, at these dinners the Board meets with</w:t>
      </w:r>
    </w:p>
    <w:p>
      <w:pPr>
        <w:jc w:val="both"/>
        <w:ind w:right="60"/>
        <w:spacing w:after="0" w:line="208" w:lineRule="auto"/>
        <w:rPr>
          <w:sz w:val="20"/>
          <w:szCs w:val="20"/>
          <w:color w:val="auto"/>
        </w:rPr>
      </w:pPr>
      <w:r>
        <w:rPr>
          <w:rFonts w:ascii="Times New Roman" w:cs="Times New Roman" w:eastAsia="Times New Roman" w:hAnsi="Times New Roman"/>
          <w:sz w:val="18"/>
          <w:szCs w:val="18"/>
          <w:color w:val="auto"/>
        </w:rPr>
        <w:t>senior decision-makers within the Company or outside experts in order to enhance the Board’s understanding of our business and affairs. In addition, on an annual basis an external expert meets with the Nominating / Corporate Governance Committee to discuss best practices and new developments relating to corporate governance and the operation of public company boards. The Company also provides funding for members of the Board of Directors to attend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outside director continuing education programs sponsored by educational and other institutions.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Identification and Evaluation of Nominees for Director</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Nominating / Corporate Governance Committee identifies nominees for director by first evaluating the current members of the Board of</w:t>
      </w:r>
    </w:p>
    <w:p>
      <w:pPr>
        <w:spacing w:after="0" w:line="2"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17"/>
          <w:szCs w:val="17"/>
          <w:color w:val="auto"/>
        </w:rPr>
        <w:t>Directors willing to continue in service. Current members with qualifications and skills that are consistent with the Nominating / Corporate Governance Committee’s criteria for service and who are willing to continue are considered for re-nomination, balancing the value of continuity of service by existing members of the Board of Directors with that of obtaining members who would offer a new perspective. If any member of the Board of Directors does not</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wish to continue in service, or if the Board of Directors decides not to re-nominate a member for re-election, the Nominating / Corporate Governance Committee identifies the desired skills and experience of a new nominee in light of the criteria above. The Nominating / Corporate Governance Committee generally polls the Board of Directors and members of management for their recommendations and may also seek input from third-party search firms. The</w:t>
      </w:r>
    </w:p>
    <w:p>
      <w:pPr>
        <w:spacing w:after="0" w:line="2" w:lineRule="exact"/>
        <w:rPr>
          <w:sz w:val="20"/>
          <w:szCs w:val="20"/>
          <w:color w:val="auto"/>
        </w:rPr>
      </w:pPr>
    </w:p>
    <w:p>
      <w:pPr>
        <w:ind w:right="140"/>
        <w:spacing w:after="0" w:line="208" w:lineRule="auto"/>
        <w:rPr>
          <w:sz w:val="20"/>
          <w:szCs w:val="20"/>
          <w:color w:val="auto"/>
        </w:rPr>
      </w:pPr>
      <w:r>
        <w:rPr>
          <w:rFonts w:ascii="Times New Roman" w:cs="Times New Roman" w:eastAsia="Times New Roman" w:hAnsi="Times New Roman"/>
          <w:sz w:val="18"/>
          <w:szCs w:val="18"/>
          <w:color w:val="auto"/>
        </w:rPr>
        <w:t>Nominating / Corporate Governance Committee may also seek input from industry experts or analysts. The Nominating / Corporate Governance Committee reviews the qualifications, experience and background of the candidates. Final candidates are then interviewed by the Company’s independent directors and executive management. In making its determinations, the Nominating / Corporate Governance Committee evaluates each individual in the</w:t>
      </w:r>
    </w:p>
    <w:p>
      <w:pPr>
        <w:spacing w:after="0" w:line="2" w:lineRule="exact"/>
        <w:rPr>
          <w:sz w:val="20"/>
          <w:szCs w:val="20"/>
          <w:color w:val="auto"/>
        </w:rPr>
      </w:pPr>
    </w:p>
    <w:p>
      <w:pPr>
        <w:jc w:val="both"/>
        <w:ind w:right="60"/>
        <w:spacing w:after="0" w:line="218" w:lineRule="auto"/>
        <w:rPr>
          <w:sz w:val="20"/>
          <w:szCs w:val="20"/>
          <w:color w:val="auto"/>
        </w:rPr>
      </w:pPr>
      <w:r>
        <w:rPr>
          <w:rFonts w:ascii="Times New Roman" w:cs="Times New Roman" w:eastAsia="Times New Roman" w:hAnsi="Times New Roman"/>
          <w:sz w:val="18"/>
          <w:szCs w:val="18"/>
          <w:color w:val="auto"/>
        </w:rPr>
        <w:t>context of the Company’s Board of Directors as a whole, with the objective of assembling a group that can best perpetuate the success of the Company and represent stockholder interests through the exercise of sound judgment. After review and deliberation of all feedback and data, the Nominating / Corporate Governance Committee makes its recommendation to the Board of Directors.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not received director candidate recommendations from the Company’s stockholders and do not have a formal policy regarding</w:t>
      </w:r>
    </w:p>
    <w:p>
      <w:pPr>
        <w:spacing w:after="0" w:line="2" w:lineRule="exact"/>
        <w:rPr>
          <w:sz w:val="20"/>
          <w:szCs w:val="20"/>
          <w:color w:val="auto"/>
        </w:rPr>
      </w:pPr>
    </w:p>
    <w:p>
      <w:pPr>
        <w:ind w:right="200"/>
        <w:spacing w:after="0" w:line="218" w:lineRule="auto"/>
        <w:rPr>
          <w:sz w:val="20"/>
          <w:szCs w:val="20"/>
          <w:color w:val="auto"/>
        </w:rPr>
      </w:pPr>
      <w:r>
        <w:rPr>
          <w:rFonts w:ascii="Times New Roman" w:cs="Times New Roman" w:eastAsia="Times New Roman" w:hAnsi="Times New Roman"/>
          <w:sz w:val="18"/>
          <w:szCs w:val="18"/>
          <w:color w:val="auto"/>
        </w:rPr>
        <w:t>consideration of such recommendations. However, any recommendations received from stockholders will be evaluated in the same manner that potential nominees suggested by members of our Board of Directors, management or other parties are evaluated. Accordingly, our Board of Directors believes a formal policy regarding consideration of such recommendations is unnecessary.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Access</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February 2023, our Board of Directors amended and restated our bylaws to provide for proxy access, which, subject to certain limitations as set</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forth in our bylaws, allows a stockholder or a group of no more than 20 stockholders owning at least three percent or more of the voting power of our outstanding capital stock continuously for at least three years to nominate and include in our Proxy Statement for an annual meeting director nominees constituting up to the greater of two individuals or 20% of the number of directors in office, provided that (i) the number of such nominees may not exceed</w:t>
      </w:r>
    </w:p>
    <w:p>
      <w:pPr>
        <w:spacing w:after="0" w:line="2"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8"/>
          <w:szCs w:val="18"/>
          <w:color w:val="auto"/>
        </w:rPr>
        <w:t>50% of the number of directors in the class whose term expires at such annual meeting and (ii) the stockholders satisfy the procedural, disclosure and other requirements specified in our bylaws. For further information, please see “Additional Information”. The foregoing description of the stockholder proxy access provision included in our bylaws does not purport to be complete and is qualified in its entirety by reference to our bylaws.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 for Stockholder Communications with the Board of Directors</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Stockholders of the Company wishing to communicate with the Company’s Board of Directors or an individual director may send a written</w:t>
      </w:r>
    </w:p>
    <w:p>
      <w:pPr>
        <w:ind w:right="20"/>
        <w:spacing w:after="0" w:line="233" w:lineRule="auto"/>
        <w:rPr>
          <w:sz w:val="20"/>
          <w:szCs w:val="20"/>
          <w:color w:val="auto"/>
        </w:rPr>
      </w:pPr>
      <w:r>
        <w:rPr>
          <w:rFonts w:ascii="Times New Roman" w:cs="Times New Roman" w:eastAsia="Times New Roman" w:hAnsi="Times New Roman"/>
          <w:sz w:val="18"/>
          <w:szCs w:val="18"/>
          <w:color w:val="auto"/>
        </w:rPr>
        <w:t>communication to the Board of Directors or such director c/o Neurocrine Biosciences, Inc., 12780 El Camino Real, San Diego, CA 92130, Attn: Corporate Secretary. Each communication must set forth:</w:t>
      </w:r>
    </w:p>
    <w:p>
      <w:pPr>
        <w:spacing w:after="0" w:line="147" w:lineRule="exact"/>
        <w:rPr>
          <w:sz w:val="20"/>
          <w:szCs w:val="20"/>
          <w:color w:val="auto"/>
        </w:rPr>
      </w:pPr>
    </w:p>
    <w:p>
      <w:pPr>
        <w:ind w:left="1020" w:hanging="23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Company stockholder on whose behalf the communication is sent; and</w:t>
      </w:r>
    </w:p>
    <w:p>
      <w:pPr>
        <w:ind w:left="1020" w:hanging="23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Company shares that are beneficially owned by such stockholder as of the date of the communication.</w:t>
      </w:r>
    </w:p>
    <w:p>
      <w:pPr>
        <w:spacing w:after="0" w:line="178" w:lineRule="exact"/>
        <w:rPr>
          <w:sz w:val="20"/>
          <w:szCs w:val="20"/>
          <w:color w:val="auto"/>
        </w:rPr>
      </w:pPr>
    </w:p>
    <w:p>
      <w:pPr>
        <w:ind w:right="40" w:firstLine="551"/>
        <w:spacing w:after="0" w:line="237" w:lineRule="auto"/>
        <w:rPr>
          <w:sz w:val="20"/>
          <w:szCs w:val="20"/>
          <w:color w:val="auto"/>
        </w:rPr>
      </w:pPr>
      <w:r>
        <w:rPr>
          <w:rFonts w:ascii="Times New Roman" w:cs="Times New Roman" w:eastAsia="Times New Roman" w:hAnsi="Times New Roman"/>
          <w:sz w:val="18"/>
          <w:szCs w:val="18"/>
          <w:color w:val="auto"/>
        </w:rPr>
        <w:t>Each stockholder communication will be reviewed by the Company’s Corporate Secretary to determine whether it is appropriate for presentation to the Board or such director. Examples of inappropriate communications include advertisements, solicitations or hostile communications.</w:t>
      </w:r>
    </w:p>
    <w:p>
      <w:pPr>
        <w:spacing w:after="0" w:line="158" w:lineRule="exact"/>
        <w:rPr>
          <w:sz w:val="20"/>
          <w:szCs w:val="20"/>
          <w:color w:val="auto"/>
        </w:rPr>
      </w:pPr>
    </w:p>
    <w:p>
      <w:pPr>
        <w:ind w:right="280" w:firstLine="551"/>
        <w:spacing w:after="0" w:line="250" w:lineRule="auto"/>
        <w:rPr>
          <w:sz w:val="20"/>
          <w:szCs w:val="20"/>
          <w:color w:val="auto"/>
        </w:rPr>
      </w:pPr>
      <w:r>
        <w:rPr>
          <w:rFonts w:ascii="Times New Roman" w:cs="Times New Roman" w:eastAsia="Times New Roman" w:hAnsi="Times New Roman"/>
          <w:sz w:val="18"/>
          <w:szCs w:val="18"/>
          <w:color w:val="auto"/>
        </w:rPr>
        <w:t>Communications determined by the Corporate Secretary to be appropriate for presentation to the Board or such director will be submitted to the Board or such director on a periodic basis.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Board’s Role in Risk Oversight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While the Board of Directors has ultimate oversight responsibility for the risk management process, it has delegated portions of this responsibility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to various committees. The Board of Directors and its committees oversee risk throughout the business with focus on financial risk, legal/compliance risk, scientific/clinical development risk, cybersecurity risk management, and strategic risk. The Audit Committee focuses on major financial risk exposures and the steps our management has taken to monitor and control these exposures. The Audit Committee also has oversight of risk related to data privacy,</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technology and information and cybersecurity, including: (i) access to various reports, summaries or presentations related to cybersecurity threats, risk, and mitigation (ii) the potential impact of those exposures on the Company’s business, financial results, operations and reputation, (iii) the steps management has taken to monitor and mitigate such exposures, (iv) the Company’s information governance policies and programs and (v) major legislative and</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regulatory developments that could materially impact the Company’s privacy and data security risk exposure. The Nominating / Corporate Governance Committee and Audit Committee each focus on legal/compliance risk with the Nominating / Corporate Governance Committee taking the lead on the governance and management process and compliance oversight with respect to the following matters: sustainability, supply chain risk, quality systems and</w:t>
      </w:r>
    </w:p>
    <w:p>
      <w:pPr>
        <w:spacing w:after="0" w:line="2" w:lineRule="exact"/>
        <w:rPr>
          <w:sz w:val="20"/>
          <w:szCs w:val="20"/>
          <w:color w:val="auto"/>
        </w:rPr>
      </w:pPr>
    </w:p>
    <w:p>
      <w:pPr>
        <w:jc w:val="both"/>
        <w:ind w:right="200"/>
        <w:spacing w:after="0" w:line="220" w:lineRule="auto"/>
        <w:rPr>
          <w:sz w:val="20"/>
          <w:szCs w:val="20"/>
          <w:color w:val="auto"/>
        </w:rPr>
      </w:pPr>
      <w:r>
        <w:rPr>
          <w:rFonts w:ascii="Times New Roman" w:cs="Times New Roman" w:eastAsia="Times New Roman" w:hAnsi="Times New Roman"/>
          <w:sz w:val="17"/>
          <w:szCs w:val="17"/>
          <w:color w:val="auto"/>
        </w:rPr>
        <w:t>drug safety. The Audit Committee takes the lead on SEC reporting and compliance. The Compensation Committee addresses compensation policies and practices as they relate to risk management practices and risk-taking incentives. The participation of the full Board of Directors in setting the Company’s business strategy incorporates assessment of scientific and strategic risks for the Company overall. Additionally, in January 2024, the Board of Directors</w:t>
      </w:r>
    </w:p>
    <w:p>
      <w:pPr>
        <w:spacing w:after="0" w:line="2"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formed the Science and Medical Technology Committee, which provides oversight of significant scientific judgments relating to the Company’s research and development, including clinical development, activities, portfolio, and potential business development transactions.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Responsibility and Sustainability</w:t>
      </w:r>
    </w:p>
    <w:p>
      <w:pPr>
        <w:spacing w:after="0" w:line="243" w:lineRule="exact"/>
        <w:rPr>
          <w:sz w:val="20"/>
          <w:szCs w:val="20"/>
          <w:color w:val="auto"/>
        </w:rPr>
      </w:pPr>
    </w:p>
    <w:p>
      <w:pPr>
        <w:ind w:firstLine="551"/>
        <w:spacing w:after="0" w:line="229" w:lineRule="auto"/>
        <w:rPr>
          <w:sz w:val="20"/>
          <w:szCs w:val="20"/>
          <w:color w:val="auto"/>
        </w:rPr>
      </w:pPr>
      <w:r>
        <w:rPr>
          <w:rFonts w:ascii="Times New Roman" w:cs="Times New Roman" w:eastAsia="Times New Roman" w:hAnsi="Times New Roman"/>
          <w:sz w:val="17"/>
          <w:szCs w:val="17"/>
          <w:color w:val="auto"/>
        </w:rPr>
        <w:t>At Neurocrine Biosciences, we uphold an unwavering spirit of ingenuity and seek to provide lifesaving solutions to patients who have great needs, but few options. We believe operating responsibly and efficiently is paramount to creating long-term value for our Company and stakeholders. Our focus as a Company is to operate with the highest standards of business ethics, adhere to the highest product quality and safety standards, invest in our people and</w:t>
      </w:r>
    </w:p>
    <w:p>
      <w:pPr>
        <w:ind w:right="60"/>
        <w:spacing w:after="0" w:line="208" w:lineRule="auto"/>
        <w:rPr>
          <w:sz w:val="20"/>
          <w:szCs w:val="20"/>
          <w:color w:val="auto"/>
        </w:rPr>
      </w:pPr>
      <w:r>
        <w:rPr>
          <w:rFonts w:ascii="Times New Roman" w:cs="Times New Roman" w:eastAsia="Times New Roman" w:hAnsi="Times New Roman"/>
          <w:sz w:val="18"/>
          <w:szCs w:val="18"/>
          <w:color w:val="auto"/>
        </w:rPr>
        <w:t>communities, and minimize the impact on the environment. Our key sustainability areas, programs and strategies are guided by our stakeholders and third-party frameworks, including the Sustainability Accounting Standards Board (SASB) biotechnology and pharmaceuticals standard and Task Force on Climate-related Financial Disclosures (TCFD). The Company’s Board of Directors has delegated the oversight of sustainability strategies and policies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Nominating / Corporate Governance Committee and the below graphic outlines our sustainability governance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141605</wp:posOffset>
            </wp:positionV>
            <wp:extent cx="5511800" cy="38061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11800" cy="3806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right="160" w:firstLine="551"/>
        <w:spacing w:after="0" w:line="226" w:lineRule="auto"/>
        <w:rPr>
          <w:sz w:val="20"/>
          <w:szCs w:val="20"/>
          <w:color w:val="auto"/>
        </w:rPr>
      </w:pPr>
      <w:r>
        <w:rPr>
          <w:rFonts w:ascii="Times New Roman" w:cs="Times New Roman" w:eastAsia="Times New Roman" w:hAnsi="Times New Roman"/>
          <w:sz w:val="18"/>
          <w:szCs w:val="18"/>
          <w:color w:val="auto"/>
        </w:rPr>
        <w:t>For more information on our commitment to corporate social responsibility and stewardship, including environmental sustainability, diversity and inclusion and other key initiatives, please see our 2024 Corporate Sustainability Report, which can be found on our website, www.neurocrine.com, under the “Sustainability” section. The information posted on or accessible through our website is not incorporated into this Proxy Statement.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Assessment Concerning Compensation Practices and Policies</w:t>
      </w:r>
    </w:p>
    <w:p>
      <w:pPr>
        <w:spacing w:after="0" w:line="189" w:lineRule="exact"/>
        <w:rPr>
          <w:sz w:val="20"/>
          <w:szCs w:val="20"/>
          <w:color w:val="auto"/>
        </w:rPr>
      </w:pPr>
    </w:p>
    <w:p>
      <w:pPr>
        <w:ind w:right="120" w:firstLine="551"/>
        <w:spacing w:after="0" w:line="229" w:lineRule="auto"/>
        <w:rPr>
          <w:sz w:val="20"/>
          <w:szCs w:val="20"/>
          <w:color w:val="auto"/>
        </w:rPr>
      </w:pPr>
      <w:r>
        <w:rPr>
          <w:rFonts w:ascii="Times New Roman" w:cs="Times New Roman" w:eastAsia="Times New Roman" w:hAnsi="Times New Roman"/>
          <w:sz w:val="17"/>
          <w:szCs w:val="17"/>
          <w:color w:val="auto"/>
        </w:rPr>
        <w:t>During fiscal 2023, the Compensation Committee conducted an assessment of how the Company’s compensation policies and practices relate to risk management practices and risk-taking incentives. As part of the process, the Compensation Committee engaged the services of an external, independent compensation consulting firm to conduct an independent risk assessment. Based on this assessment, the Compensation Committee concluded</w:t>
      </w:r>
    </w:p>
    <w:p>
      <w:pPr>
        <w:ind w:right="200"/>
        <w:spacing w:after="0" w:line="226" w:lineRule="auto"/>
        <w:rPr>
          <w:sz w:val="20"/>
          <w:szCs w:val="20"/>
          <w:color w:val="auto"/>
        </w:rPr>
      </w:pPr>
      <w:r>
        <w:rPr>
          <w:rFonts w:ascii="Times New Roman" w:cs="Times New Roman" w:eastAsia="Times New Roman" w:hAnsi="Times New Roman"/>
          <w:sz w:val="18"/>
          <w:szCs w:val="18"/>
          <w:color w:val="auto"/>
        </w:rPr>
        <w:t>that the Company’s compensation policies and practices are consistent with industry practices for similar biopharmaceutical companies and do not create risks that are reasonably likely to have a material adverse effect on the Company.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in Succession Planning</w:t>
      </w:r>
    </w:p>
    <w:p>
      <w:pPr>
        <w:spacing w:after="0" w:line="202" w:lineRule="exact"/>
        <w:rPr>
          <w:sz w:val="20"/>
          <w:szCs w:val="20"/>
          <w:color w:val="auto"/>
        </w:rPr>
      </w:pPr>
    </w:p>
    <w:p>
      <w:pPr>
        <w:ind w:right="140" w:firstLine="551"/>
        <w:spacing w:after="0" w:line="229" w:lineRule="auto"/>
        <w:rPr>
          <w:sz w:val="20"/>
          <w:szCs w:val="20"/>
          <w:color w:val="auto"/>
        </w:rPr>
      </w:pPr>
      <w:r>
        <w:rPr>
          <w:rFonts w:ascii="Times New Roman" w:cs="Times New Roman" w:eastAsia="Times New Roman" w:hAnsi="Times New Roman"/>
          <w:sz w:val="17"/>
          <w:szCs w:val="17"/>
          <w:color w:val="auto"/>
        </w:rPr>
        <w:t>A key responsibility of the Board is succession planning for the CEO and other members of the executive management team. In consultation with the Company's CEO and Chief Human Resources Officer, the Nominating / Corporate Governance Committee regularly reviews succession planning relating to the Company's CEO as well as the Company's other executive officers. The Nominating / Corporate Governance Committee then consults with</w:t>
      </w:r>
    </w:p>
    <w:p>
      <w:pPr>
        <w:spacing w:after="0" w:line="208" w:lineRule="auto"/>
        <w:rPr>
          <w:sz w:val="20"/>
          <w:szCs w:val="20"/>
          <w:color w:val="auto"/>
        </w:rPr>
      </w:pPr>
      <w:r>
        <w:rPr>
          <w:rFonts w:ascii="Times New Roman" w:cs="Times New Roman" w:eastAsia="Times New Roman" w:hAnsi="Times New Roman"/>
          <w:sz w:val="18"/>
          <w:szCs w:val="18"/>
          <w:color w:val="auto"/>
        </w:rPr>
        <w:t>the full Board to ensure that development, retention and succession plans for the CEO and the executive team align with the Company's short and long-term strategic goals. Additionally, the Compensation Committee discusses executive management talent, including the readiness of individuals to take on additional leadership roles and developmental opportunities needed to prepare senior leaders for greater levels of responsibility. The review and assessment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conducted by the Board and its committees includes a review of both a long-term succession plan and an emergency succession plan.</w:t>
      </w:r>
    </w:p>
    <w:p>
      <w:pPr>
        <w:spacing w:after="0" w:line="165" w:lineRule="exact"/>
        <w:rPr>
          <w:sz w:val="20"/>
          <w:szCs w:val="20"/>
          <w:color w:val="auto"/>
        </w:rPr>
      </w:pPr>
    </w:p>
    <w:p>
      <w:pPr>
        <w:ind w:right="20" w:firstLine="551"/>
        <w:spacing w:after="0" w:line="236" w:lineRule="auto"/>
        <w:rPr>
          <w:sz w:val="20"/>
          <w:szCs w:val="20"/>
          <w:color w:val="auto"/>
        </w:rPr>
      </w:pPr>
      <w:r>
        <w:rPr>
          <w:rFonts w:ascii="Times New Roman" w:cs="Times New Roman" w:eastAsia="Times New Roman" w:hAnsi="Times New Roman"/>
          <w:sz w:val="17"/>
          <w:szCs w:val="17"/>
          <w:color w:val="auto"/>
        </w:rPr>
        <w:t>In support of the Company’s commitment to investing in its employees, high-potential leaders are provided with the opportunity to meet with Board members through formal presentations and at informal events. This engagement gives the Board insight into the Company’s talent and helps to facilitate a</w:t>
      </w:r>
    </w:p>
    <w:p>
      <w:pPr>
        <w:spacing w:after="0"/>
        <w:rPr>
          <w:sz w:val="20"/>
          <w:szCs w:val="20"/>
          <w:color w:val="auto"/>
        </w:rPr>
      </w:pPr>
      <w:r>
        <w:rPr>
          <w:rFonts w:ascii="Times New Roman" w:cs="Times New Roman" w:eastAsia="Times New Roman" w:hAnsi="Times New Roman"/>
          <w:sz w:val="18"/>
          <w:szCs w:val="18"/>
          <w:color w:val="auto"/>
        </w:rPr>
        <w:t>regular review and discussion of leadership development and succession planning at the Board and Committee level.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Regarding Board Member Attendance at the Company’s Annual Meeting</w:t>
      </w:r>
    </w:p>
    <w:p>
      <w:pPr>
        <w:spacing w:after="0" w:line="189" w:lineRule="exact"/>
        <w:rPr>
          <w:sz w:val="20"/>
          <w:szCs w:val="20"/>
          <w:color w:val="auto"/>
        </w:rPr>
      </w:pPr>
    </w:p>
    <w:p>
      <w:pPr>
        <w:ind w:right="720" w:firstLine="551"/>
        <w:spacing w:after="0" w:line="250" w:lineRule="auto"/>
        <w:rPr>
          <w:sz w:val="20"/>
          <w:szCs w:val="20"/>
          <w:color w:val="auto"/>
        </w:rPr>
      </w:pPr>
      <w:r>
        <w:rPr>
          <w:rFonts w:ascii="Times New Roman" w:cs="Times New Roman" w:eastAsia="Times New Roman" w:hAnsi="Times New Roman"/>
          <w:sz w:val="18"/>
          <w:szCs w:val="18"/>
          <w:color w:val="auto"/>
        </w:rPr>
        <w:t>The Company does not have a formal policy regarding attendance by members of the Board of Directors at the Annual Meeting. Directors Dr. Gorman and Dr. Rastetter attended the 2023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00" w:lineRule="exact"/>
        <w:rPr>
          <w:sz w:val="20"/>
          <w:szCs w:val="20"/>
          <w:color w:val="auto"/>
        </w:rPr>
      </w:pPr>
    </w:p>
    <w:p>
      <w:pPr>
        <w:ind w:right="160" w:firstLine="551"/>
        <w:spacing w:after="0" w:line="227" w:lineRule="auto"/>
        <w:rPr>
          <w:sz w:val="20"/>
          <w:szCs w:val="20"/>
          <w:color w:val="auto"/>
        </w:rPr>
      </w:pPr>
      <w:r>
        <w:rPr>
          <w:rFonts w:ascii="Times New Roman" w:cs="Times New Roman" w:eastAsia="Times New Roman" w:hAnsi="Times New Roman"/>
          <w:sz w:val="18"/>
          <w:szCs w:val="18"/>
          <w:i w:val="1"/>
          <w:iCs w:val="1"/>
          <w:color w:val="auto"/>
        </w:rPr>
        <w:t>The following Report of the Audit Committee does not constitute soliciting material and should not be deemed filed or incorporated by reference into any other Company filing under the Securities Act of 1933, as amended, or the Securities Exchange Act of 1934, as amended, except to the extent the Company specifically incorporates this Report by reference therein.</w:t>
      </w:r>
    </w:p>
    <w:p>
      <w:pPr>
        <w:spacing w:after="0" w:line="171" w:lineRule="exact"/>
        <w:rPr>
          <w:sz w:val="20"/>
          <w:szCs w:val="20"/>
          <w:color w:val="auto"/>
        </w:rPr>
      </w:pPr>
    </w:p>
    <w:p>
      <w:pPr>
        <w:ind w:right="40" w:firstLine="551"/>
        <w:spacing w:after="0" w:line="229" w:lineRule="auto"/>
        <w:rPr>
          <w:sz w:val="20"/>
          <w:szCs w:val="20"/>
          <w:color w:val="auto"/>
        </w:rPr>
      </w:pPr>
      <w:r>
        <w:rPr>
          <w:rFonts w:ascii="Times New Roman" w:cs="Times New Roman" w:eastAsia="Times New Roman" w:hAnsi="Times New Roman"/>
          <w:sz w:val="17"/>
          <w:szCs w:val="17"/>
          <w:color w:val="auto"/>
        </w:rPr>
        <w:t>The Audit Committee oversees the Company’s financial reporting process on behalf of the Board of Directors. Management has the primary responsibility for the Company’s financial statements and the reporting process, including the Company’s systems of internal controls. In fulfilling its oversight responsibilities, the Audit Committee has reviewed and discussed with management the Company’s audited financial statements as of and for the</w:t>
      </w:r>
    </w:p>
    <w:p>
      <w:pPr>
        <w:ind w:right="720"/>
        <w:spacing w:after="0" w:line="226" w:lineRule="auto"/>
        <w:rPr>
          <w:sz w:val="20"/>
          <w:szCs w:val="20"/>
          <w:color w:val="auto"/>
        </w:rPr>
      </w:pPr>
      <w:r>
        <w:rPr>
          <w:rFonts w:ascii="Times New Roman" w:cs="Times New Roman" w:eastAsia="Times New Roman" w:hAnsi="Times New Roman"/>
          <w:sz w:val="18"/>
          <w:szCs w:val="18"/>
          <w:color w:val="auto"/>
        </w:rPr>
        <w:t>year ended December 31, 2023, including a discussion of the quality, not just the acceptability, of the accounting principles, the reasonableness of significant judgments and the clarity of disclosures in the financial statements.</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Audit Committee also has reviewed and discussed the Company’s audited financial statements as of and for the year ended December 31, 2023</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with the Company’s independent registered public accounting firm, who are responsible for expressing an opinion on the conformity of those audited financial statements with accounting principles generally accepted in the United States, as well as their judgments as to the quality, not just the acceptability, of the Company’s accounting principles and such other matters as are required to be discussed with the Audit Committee under the applicable</w:t>
      </w:r>
    </w:p>
    <w:p>
      <w:pPr>
        <w:spacing w:after="0" w:line="2" w:lineRule="exact"/>
        <w:rPr>
          <w:sz w:val="20"/>
          <w:szCs w:val="20"/>
          <w:color w:val="auto"/>
        </w:rPr>
      </w:pPr>
    </w:p>
    <w:p>
      <w:pPr>
        <w:ind w:right="220"/>
        <w:spacing w:after="0" w:line="219" w:lineRule="auto"/>
        <w:rPr>
          <w:sz w:val="20"/>
          <w:szCs w:val="20"/>
          <w:color w:val="auto"/>
        </w:rPr>
      </w:pPr>
      <w:r>
        <w:rPr>
          <w:rFonts w:ascii="Times New Roman" w:cs="Times New Roman" w:eastAsia="Times New Roman" w:hAnsi="Times New Roman"/>
          <w:sz w:val="17"/>
          <w:szCs w:val="17"/>
          <w:color w:val="auto"/>
        </w:rPr>
        <w:t>requirements of the Public Company Accounting Oversight Board (United States) (the “PCAOB”) and the Securities and Exchange Commission. The independent registered public accounting firm also is responsible for performing an independent audit of the Company’s internal control over financial reporting in accordance with the auditing standards of the PCAOB. In addition, the Audit Committee has discussed the independent registered public accounting firm’s independence from management and the Company, including the matters in the written disclosures and the letter from the independent</w:t>
      </w:r>
    </w:p>
    <w:p>
      <w:pPr>
        <w:spacing w:after="0" w:line="2" w:lineRule="exact"/>
        <w:rPr>
          <w:sz w:val="20"/>
          <w:szCs w:val="20"/>
          <w:color w:val="auto"/>
        </w:rPr>
      </w:pPr>
    </w:p>
    <w:p>
      <w:pPr>
        <w:ind w:right="500"/>
        <w:spacing w:after="0" w:line="226" w:lineRule="auto"/>
        <w:rPr>
          <w:sz w:val="20"/>
          <w:szCs w:val="20"/>
          <w:color w:val="auto"/>
        </w:rPr>
      </w:pPr>
      <w:r>
        <w:rPr>
          <w:rFonts w:ascii="Times New Roman" w:cs="Times New Roman" w:eastAsia="Times New Roman" w:hAnsi="Times New Roman"/>
          <w:sz w:val="18"/>
          <w:szCs w:val="18"/>
          <w:color w:val="auto"/>
        </w:rPr>
        <w:t>registered public accounting firm required by applicable requirements of the PCAOB and considered the compatibility of non-audit services with the auditors’ independence.</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Audit Committee discussed with the Company’s independent registered public accounting firm the overall scope and plans for their audits. The</w:t>
      </w:r>
    </w:p>
    <w:p>
      <w:pPr>
        <w:spacing w:after="0" w:line="2" w:lineRule="exact"/>
        <w:rPr>
          <w:sz w:val="20"/>
          <w:szCs w:val="20"/>
          <w:color w:val="auto"/>
        </w:rPr>
      </w:pPr>
    </w:p>
    <w:p>
      <w:pPr>
        <w:ind w:right="520"/>
        <w:spacing w:after="0" w:line="226" w:lineRule="auto"/>
        <w:rPr>
          <w:sz w:val="20"/>
          <w:szCs w:val="20"/>
          <w:color w:val="auto"/>
        </w:rPr>
      </w:pPr>
      <w:r>
        <w:rPr>
          <w:rFonts w:ascii="Times New Roman" w:cs="Times New Roman" w:eastAsia="Times New Roman" w:hAnsi="Times New Roman"/>
          <w:sz w:val="18"/>
          <w:szCs w:val="18"/>
          <w:color w:val="auto"/>
        </w:rPr>
        <w:t>Audit Committee meets with the independent registered public accounting firm, with and without management present, to discuss the results of their examinations, their evaluations of the Company’s internal controls, and the overall quality of the Company’s financial reporting.</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reliance on the reviews and discussions referred to above, the Audit Committee recommended to the Board of Directors that the audited financial</w:t>
      </w:r>
    </w:p>
    <w:p>
      <w:pPr>
        <w:spacing w:after="0" w:line="2" w:lineRule="exact"/>
        <w:rPr>
          <w:sz w:val="20"/>
          <w:szCs w:val="20"/>
          <w:color w:val="auto"/>
        </w:rPr>
      </w:pPr>
    </w:p>
    <w:p>
      <w:pPr>
        <w:ind w:right="80"/>
        <w:spacing w:after="0" w:line="218" w:lineRule="auto"/>
        <w:rPr>
          <w:sz w:val="20"/>
          <w:szCs w:val="20"/>
          <w:color w:val="auto"/>
        </w:rPr>
      </w:pPr>
      <w:r>
        <w:rPr>
          <w:rFonts w:ascii="Times New Roman" w:cs="Times New Roman" w:eastAsia="Times New Roman" w:hAnsi="Times New Roman"/>
          <w:sz w:val="18"/>
          <w:szCs w:val="18"/>
          <w:color w:val="auto"/>
        </w:rPr>
        <w:t>statements be included in the Company’s Annual Report on Form 10-K for the year ended December 31, 2023, for filing with the Securities and Exchange Commission. The Audit Committee and the Board of Directors are also seeking stockholder ratification of the selection of the Company’s independent registered public accounting firm for the year ending December 31, 2024.</w:t>
      </w:r>
    </w:p>
    <w:p>
      <w:pPr>
        <w:spacing w:after="0" w:line="160"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Respectfully submitted by:</w:t>
      </w:r>
    </w:p>
    <w:p>
      <w:pPr>
        <w:ind w:left="7160"/>
        <w:spacing w:after="0"/>
        <w:rPr>
          <w:sz w:val="20"/>
          <w:szCs w:val="20"/>
          <w:color w:val="auto"/>
        </w:rPr>
      </w:pPr>
      <w:r>
        <w:rPr>
          <w:rFonts w:ascii="Times New Roman" w:cs="Times New Roman" w:eastAsia="Times New Roman" w:hAnsi="Times New Roman"/>
          <w:sz w:val="18"/>
          <w:szCs w:val="18"/>
          <w:color w:val="auto"/>
        </w:rPr>
        <w:t>AUDIT COMMITTEE</w:t>
      </w:r>
    </w:p>
    <w:p>
      <w:pPr>
        <w:spacing w:after="0" w:line="165"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Shalini Sharp</w:t>
      </w:r>
    </w:p>
    <w:p>
      <w:pPr>
        <w:ind w:left="7160"/>
        <w:spacing w:after="0" w:line="205" w:lineRule="auto"/>
        <w:rPr>
          <w:sz w:val="20"/>
          <w:szCs w:val="20"/>
          <w:color w:val="auto"/>
        </w:rPr>
      </w:pPr>
      <w:r>
        <w:rPr>
          <w:rFonts w:ascii="Times New Roman" w:cs="Times New Roman" w:eastAsia="Times New Roman" w:hAnsi="Times New Roman"/>
          <w:sz w:val="18"/>
          <w:szCs w:val="18"/>
          <w:color w:val="auto"/>
        </w:rPr>
        <w:t>Stephen A. Sherwin, M.D.</w:t>
      </w:r>
    </w:p>
    <w:p>
      <w:pPr>
        <w:spacing w:after="0" w:line="1"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Richard F. Pops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02" w:lineRule="exact"/>
        <w:rPr>
          <w:sz w:val="20"/>
          <w:szCs w:val="20"/>
          <w:color w:val="auto"/>
        </w:rPr>
      </w:pPr>
    </w:p>
    <w:p>
      <w:pPr>
        <w:ind w:right="180" w:firstLine="551"/>
        <w:spacing w:after="0" w:line="237" w:lineRule="auto"/>
        <w:rPr>
          <w:sz w:val="20"/>
          <w:szCs w:val="20"/>
          <w:color w:val="auto"/>
        </w:rPr>
      </w:pPr>
      <w:r>
        <w:rPr>
          <w:rFonts w:ascii="Times New Roman" w:cs="Times New Roman" w:eastAsia="Times New Roman" w:hAnsi="Times New Roman"/>
          <w:sz w:val="18"/>
          <w:szCs w:val="18"/>
          <w:color w:val="auto"/>
        </w:rPr>
        <w:t>The aggregate fees billed to the Company by Ernst &amp; Young LLP, the Company’s independent registered public accounting firm, for the indicated services for each of the last two fiscal years were as follows:</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Audit fees (1)</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1,708,578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1,170,175</w:t>
            </w: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Audit related fees (2)</w:t>
            </w: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fees (3)</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545,664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533,346</w:t>
            </w:r>
          </w:p>
        </w:tc>
      </w:tr>
      <w:tr>
        <w:trPr>
          <w:trHeight w:val="207"/>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2,254,242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1,703,521</w:t>
            </w:r>
          </w:p>
        </w:tc>
      </w:tr>
      <w:tr>
        <w:trPr>
          <w:trHeight w:val="23"/>
        </w:trPr>
        <w:tc>
          <w:tcPr>
            <w:tcW w:w="8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9" w:lineRule="exact"/>
        <w:rPr>
          <w:sz w:val="20"/>
          <w:szCs w:val="20"/>
          <w:color w:val="auto"/>
        </w:rPr>
      </w:pPr>
    </w:p>
    <w:p>
      <w:pPr>
        <w:ind w:left="580" w:right="40" w:hanging="572"/>
        <w:spacing w:after="0" w:line="234" w:lineRule="auto"/>
        <w:tabs>
          <w:tab w:leader="none" w:pos="57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consist of fees for professional services performed by Ernst &amp; Young LLP for the integrated audit of the Company’s annual financial statements and internal control over financial reporting and review of financial statements included in the Company’s 10-Q filings and services that are normally provided in connection with statutory and regulatory filings or engagements.</w:t>
      </w:r>
    </w:p>
    <w:p>
      <w:pPr>
        <w:spacing w:after="0" w:line="15" w:lineRule="exact"/>
        <w:rPr>
          <w:rFonts w:ascii="Times New Roman" w:cs="Times New Roman" w:eastAsia="Times New Roman" w:hAnsi="Times New Roman"/>
          <w:sz w:val="14"/>
          <w:szCs w:val="14"/>
          <w:color w:val="auto"/>
        </w:rPr>
      </w:pPr>
    </w:p>
    <w:p>
      <w:pPr>
        <w:ind w:left="580" w:right="500" w:hanging="572"/>
        <w:spacing w:after="0" w:line="241" w:lineRule="auto"/>
        <w:tabs>
          <w:tab w:leader="none" w:pos="57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related fees consist of fees for assurance and related services performed by Ernst &amp; Young LLP that are reasonably related to the performance of the audit or review of the Company’s financial statements.</w:t>
      </w:r>
    </w:p>
    <w:p>
      <w:pPr>
        <w:spacing w:after="0" w:line="14" w:lineRule="exact"/>
        <w:rPr>
          <w:rFonts w:ascii="Times New Roman" w:cs="Times New Roman" w:eastAsia="Times New Roman" w:hAnsi="Times New Roman"/>
          <w:sz w:val="14"/>
          <w:szCs w:val="14"/>
          <w:color w:val="auto"/>
        </w:rPr>
      </w:pPr>
    </w:p>
    <w:p>
      <w:pPr>
        <w:ind w:left="580" w:right="120" w:hanging="572"/>
        <w:spacing w:after="0" w:line="241" w:lineRule="auto"/>
        <w:tabs>
          <w:tab w:leader="none" w:pos="57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consist of fees for professional services performed by Ernst &amp; Young LLP with respect to tax compliance, tax advice and tax planning. Total includes approximately $263,000 in 2023 and $221,000 in 2022 for tax compliance.</w:t>
      </w:r>
    </w:p>
    <w:p>
      <w:pPr>
        <w:spacing w:after="0" w:line="181" w:lineRule="exact"/>
        <w:rPr>
          <w:sz w:val="20"/>
          <w:szCs w:val="20"/>
          <w:color w:val="auto"/>
        </w:rPr>
      </w:pPr>
    </w:p>
    <w:p>
      <w:pPr>
        <w:ind w:firstLine="551"/>
        <w:spacing w:after="0" w:line="236" w:lineRule="auto"/>
        <w:rPr>
          <w:sz w:val="20"/>
          <w:szCs w:val="20"/>
          <w:color w:val="auto"/>
        </w:rPr>
      </w:pPr>
      <w:r>
        <w:rPr>
          <w:rFonts w:ascii="Times New Roman" w:cs="Times New Roman" w:eastAsia="Times New Roman" w:hAnsi="Times New Roman"/>
          <w:sz w:val="17"/>
          <w:szCs w:val="17"/>
          <w:color w:val="auto"/>
        </w:rPr>
        <w:t>The Audit Committee has considered whether the provision of non-audit services is compatible with maintaining the independence of Ernst &amp; Young LLP and has concluded that the provision of such services is compatible with maintaining the independence of that firm. All of the services rendered</w:t>
      </w:r>
    </w:p>
    <w:p>
      <w:pPr>
        <w:spacing w:after="0"/>
        <w:rPr>
          <w:sz w:val="20"/>
          <w:szCs w:val="20"/>
          <w:color w:val="auto"/>
        </w:rPr>
      </w:pPr>
      <w:r>
        <w:rPr>
          <w:rFonts w:ascii="Times New Roman" w:cs="Times New Roman" w:eastAsia="Times New Roman" w:hAnsi="Times New Roman"/>
          <w:sz w:val="18"/>
          <w:szCs w:val="18"/>
          <w:color w:val="auto"/>
        </w:rPr>
        <w:t>by Ernst &amp; Young LLP were pre-approved by the Audit Committee in accordance with the Audit Committee pre-approval policy described below.</w:t>
      </w:r>
    </w:p>
    <w:p>
      <w:pPr>
        <w:spacing w:after="0" w:line="165" w:lineRule="exact"/>
        <w:rPr>
          <w:sz w:val="20"/>
          <w:szCs w:val="20"/>
          <w:color w:val="auto"/>
        </w:rPr>
      </w:pPr>
    </w:p>
    <w:p>
      <w:pPr>
        <w:ind w:right="40" w:firstLine="551"/>
        <w:spacing w:after="0" w:line="236" w:lineRule="auto"/>
        <w:rPr>
          <w:sz w:val="20"/>
          <w:szCs w:val="20"/>
          <w:color w:val="auto"/>
        </w:rPr>
      </w:pPr>
      <w:r>
        <w:rPr>
          <w:rFonts w:ascii="Times New Roman" w:cs="Times New Roman" w:eastAsia="Times New Roman" w:hAnsi="Times New Roman"/>
          <w:sz w:val="17"/>
          <w:szCs w:val="17"/>
          <w:color w:val="auto"/>
        </w:rPr>
        <w:t>The Company’s Audit Committee has established a policy that all audit and permissible non-audit services provided by the Company’s independent registered public accounting firm will be pre-approved by the Audit Committee. These services may include audit services, audit related services, tax</w:t>
      </w:r>
    </w:p>
    <w:p>
      <w:pPr>
        <w:ind w:right="80"/>
        <w:spacing w:after="0" w:line="220" w:lineRule="auto"/>
        <w:rPr>
          <w:sz w:val="20"/>
          <w:szCs w:val="20"/>
          <w:color w:val="auto"/>
        </w:rPr>
      </w:pPr>
      <w:r>
        <w:rPr>
          <w:rFonts w:ascii="Times New Roman" w:cs="Times New Roman" w:eastAsia="Times New Roman" w:hAnsi="Times New Roman"/>
          <w:sz w:val="17"/>
          <w:szCs w:val="17"/>
          <w:color w:val="auto"/>
        </w:rPr>
        <w:t>services and other services. The Audit Committee considers whether the provision of each non-audit service is compatible with maintaining the independence of the Company’s registered public accounting firm. Pre-approval is detailed as to the particular service or category of services and is generally subject to a specific budget. The Company’s independent registered public accounting firm and management are required to periodically (at least</w:t>
      </w:r>
    </w:p>
    <w:p>
      <w:pPr>
        <w:spacing w:after="0" w:line="2"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quarterly) report to the Audit Committee regarding the extent of services provided by the independent registered public accounting firm in accordance with this pre-approval, and the fees for the services performed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00" w:lineRule="exact"/>
        <w:rPr>
          <w:sz w:val="20"/>
          <w:szCs w:val="20"/>
          <w:color w:val="auto"/>
        </w:rPr>
      </w:pPr>
    </w:p>
    <w:p>
      <w:pPr>
        <w:jc w:val="both"/>
        <w:ind w:firstLine="551"/>
        <w:spacing w:after="0" w:line="227" w:lineRule="auto"/>
        <w:rPr>
          <w:sz w:val="20"/>
          <w:szCs w:val="20"/>
          <w:color w:val="auto"/>
        </w:rPr>
      </w:pPr>
      <w:r>
        <w:rPr>
          <w:rFonts w:ascii="Times New Roman" w:cs="Times New Roman" w:eastAsia="Times New Roman" w:hAnsi="Times New Roman"/>
          <w:sz w:val="18"/>
          <w:szCs w:val="18"/>
          <w:i w:val="1"/>
          <w:iCs w:val="1"/>
          <w:color w:val="auto"/>
        </w:rPr>
        <w:t>The following Report of the Committee does not constitute soliciting material and should not be deemed filed or incorporated by reference into any other Company filing under the Securities Act of 1933, as amended, or the Securities Exchange Act of 1934, as amended, except to the extent the Company specifically incorporates this Report by reference therein.</w:t>
      </w:r>
    </w:p>
    <w:p>
      <w:pPr>
        <w:spacing w:after="0" w:line="171" w:lineRule="exact"/>
        <w:rPr>
          <w:sz w:val="20"/>
          <w:szCs w:val="20"/>
          <w:color w:val="auto"/>
        </w:rPr>
      </w:pPr>
    </w:p>
    <w:p>
      <w:pPr>
        <w:ind w:right="40" w:firstLine="551"/>
        <w:spacing w:after="0" w:line="226" w:lineRule="auto"/>
        <w:rPr>
          <w:sz w:val="20"/>
          <w:szCs w:val="20"/>
          <w:color w:val="auto"/>
        </w:rPr>
      </w:pPr>
      <w:r>
        <w:rPr>
          <w:rFonts w:ascii="Times New Roman" w:cs="Times New Roman" w:eastAsia="Times New Roman" w:hAnsi="Times New Roman"/>
          <w:sz w:val="18"/>
          <w:szCs w:val="18"/>
          <w:color w:val="auto"/>
        </w:rPr>
        <w:t>The Compensation Committee of the Company has reviewed and discussed the Compensation Discussion and Analysis required by Item 402(b) of Regulation S-K with management and, based on such review and discussions, the Compensation Committee recommended to the Board of Directors that the Compensation Discussion and Analysis be included in this Proxy Statement.</w:t>
      </w:r>
    </w:p>
    <w:p>
      <w:pPr>
        <w:spacing w:after="0" w:line="160"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Respectfully submitted by:</w:t>
      </w:r>
    </w:p>
    <w:p>
      <w:pPr>
        <w:ind w:left="7160"/>
        <w:spacing w:after="0"/>
        <w:rPr>
          <w:sz w:val="20"/>
          <w:szCs w:val="20"/>
          <w:color w:val="auto"/>
        </w:rPr>
      </w:pPr>
      <w:r>
        <w:rPr>
          <w:rFonts w:ascii="Times New Roman" w:cs="Times New Roman" w:eastAsia="Times New Roman" w:hAnsi="Times New Roman"/>
          <w:sz w:val="18"/>
          <w:szCs w:val="18"/>
          <w:color w:val="auto"/>
        </w:rPr>
        <w:t>COMPENSATION COMMITTEE</w:t>
      </w:r>
    </w:p>
    <w:p>
      <w:pPr>
        <w:spacing w:after="0" w:line="165"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George J. Morrow</w:t>
      </w:r>
    </w:p>
    <w:p>
      <w:pPr>
        <w:ind w:left="7160"/>
        <w:spacing w:after="0" w:line="205" w:lineRule="auto"/>
        <w:rPr>
          <w:sz w:val="20"/>
          <w:szCs w:val="20"/>
          <w:color w:val="auto"/>
        </w:rPr>
      </w:pPr>
      <w:r>
        <w:rPr>
          <w:rFonts w:ascii="Times New Roman" w:cs="Times New Roman" w:eastAsia="Times New Roman" w:hAnsi="Times New Roman"/>
          <w:sz w:val="18"/>
          <w:szCs w:val="18"/>
          <w:color w:val="auto"/>
        </w:rPr>
        <w:t>Richard F. Pops</w:t>
      </w:r>
    </w:p>
    <w:p>
      <w:pPr>
        <w:spacing w:after="0" w:line="1"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Shalini Sharp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1" w:right="4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ONE: ELECTION OF DIRECTORS</w:t>
      </w:r>
    </w:p>
    <w:p>
      <w:pPr>
        <w:spacing w:after="0" w:line="202" w:lineRule="exact"/>
        <w:rPr>
          <w:sz w:val="20"/>
          <w:szCs w:val="20"/>
          <w:color w:val="auto"/>
        </w:rPr>
      </w:pPr>
    </w:p>
    <w:p>
      <w:pPr>
        <w:ind w:right="80" w:firstLine="551"/>
        <w:spacing w:after="0" w:line="229" w:lineRule="auto"/>
        <w:rPr>
          <w:sz w:val="20"/>
          <w:szCs w:val="20"/>
          <w:color w:val="auto"/>
        </w:rPr>
      </w:pPr>
      <w:r>
        <w:rPr>
          <w:rFonts w:ascii="Times New Roman" w:cs="Times New Roman" w:eastAsia="Times New Roman" w:hAnsi="Times New Roman"/>
          <w:sz w:val="17"/>
          <w:szCs w:val="17"/>
          <w:color w:val="auto"/>
        </w:rPr>
        <w:t>The Company’s bylaws, as amended, provide that the Board of Directors is comprised of ten directors. The Company’s Certificate of Incorporation provides that the Board of Directors is divided into three classes. There are currently four directors in Class I (William H. Rastetter, Ph.D., George J. Morrow, Leslie V. Norwalk, and Christine A. Poon), three directors in Class II (Richard F. Pops, Shalini Sharp, and Stephen A. Sherwin, M.D.), and three</w:t>
      </w:r>
    </w:p>
    <w:p>
      <w:pPr>
        <w:ind w:right="20"/>
        <w:spacing w:after="0" w:line="208" w:lineRule="auto"/>
        <w:rPr>
          <w:sz w:val="20"/>
          <w:szCs w:val="20"/>
          <w:color w:val="auto"/>
        </w:rPr>
      </w:pPr>
      <w:r>
        <w:rPr>
          <w:rFonts w:ascii="Times New Roman" w:cs="Times New Roman" w:eastAsia="Times New Roman" w:hAnsi="Times New Roman"/>
          <w:sz w:val="18"/>
          <w:szCs w:val="18"/>
          <w:color w:val="auto"/>
        </w:rPr>
        <w:t>directors in Class III (Kevin C. Gorman, Ph.D., Gary A. Lyons, and Johanna Mercier). With the exception of Kevin C. Gorman, Ph.D., who is the Chief Executive Officer of Neurocrine Biosciences, all current members of the Board of Directors meet the definition of “independent director” under the Nasdaq Stock Market qualification standards. Additionally, our Corporate Governance Guidelines contain a director resignation policy, which provides that any</w:t>
      </w:r>
    </w:p>
    <w:p>
      <w:pPr>
        <w:spacing w:after="0" w:line="2" w:lineRule="exact"/>
        <w:rPr>
          <w:sz w:val="20"/>
          <w:szCs w:val="20"/>
          <w:color w:val="auto"/>
        </w:rPr>
      </w:pPr>
    </w:p>
    <w:p>
      <w:pPr>
        <w:ind w:right="300"/>
        <w:spacing w:after="0" w:line="208" w:lineRule="auto"/>
        <w:rPr>
          <w:sz w:val="20"/>
          <w:szCs w:val="20"/>
          <w:color w:val="auto"/>
        </w:rPr>
      </w:pPr>
      <w:r>
        <w:rPr>
          <w:rFonts w:ascii="Times New Roman" w:cs="Times New Roman" w:eastAsia="Times New Roman" w:hAnsi="Times New Roman"/>
          <w:sz w:val="18"/>
          <w:szCs w:val="18"/>
          <w:color w:val="auto"/>
        </w:rPr>
        <w:t>director nominee who receives a greater number of votes “withheld” than votes “for” such election shall tender his or her resignation to the Board of Directors. The Nominating / Corporate Governance Committee will consider all of the relevant facts and circumstances and recommend to the Board of Directors whether to accept or reject the resignation. The Board of Directors will act on the Nominating / Corporate Governance Committee's</w:t>
      </w:r>
    </w:p>
    <w:p>
      <w:pPr>
        <w:spacing w:after="0" w:line="2" w:lineRule="exact"/>
        <w:rPr>
          <w:sz w:val="20"/>
          <w:szCs w:val="20"/>
          <w:color w:val="auto"/>
        </w:rPr>
      </w:pPr>
    </w:p>
    <w:p>
      <w:pPr>
        <w:ind w:right="520"/>
        <w:spacing w:after="0" w:line="218" w:lineRule="auto"/>
        <w:rPr>
          <w:sz w:val="20"/>
          <w:szCs w:val="20"/>
          <w:color w:val="auto"/>
        </w:rPr>
      </w:pPr>
      <w:r>
        <w:rPr>
          <w:rFonts w:ascii="Times New Roman" w:cs="Times New Roman" w:eastAsia="Times New Roman" w:hAnsi="Times New Roman"/>
          <w:sz w:val="18"/>
          <w:szCs w:val="18"/>
          <w:color w:val="auto"/>
        </w:rPr>
        <w:t>recommendation within 90 days of the annual meeting. Following the Board’s decision on the Nominating / Corporate Governance Committee’s recommendation, the Company will publicly disclose the Board’s decision whether to accept the resignation as tendered in a Form 8-K filed with the Securities and Exchange Commission (the "SEC").</w:t>
      </w:r>
    </w:p>
    <w:p>
      <w:pPr>
        <w:spacing w:after="0" w:line="172" w:lineRule="exact"/>
        <w:rPr>
          <w:sz w:val="20"/>
          <w:szCs w:val="20"/>
          <w:color w:val="auto"/>
        </w:rPr>
      </w:pPr>
    </w:p>
    <w:p>
      <w:pPr>
        <w:ind w:right="100" w:firstLine="551"/>
        <w:spacing w:after="0" w:line="213" w:lineRule="auto"/>
        <w:rPr>
          <w:sz w:val="20"/>
          <w:szCs w:val="20"/>
          <w:color w:val="auto"/>
        </w:rPr>
      </w:pPr>
      <w:r>
        <w:rPr>
          <w:rFonts w:ascii="Times New Roman" w:cs="Times New Roman" w:eastAsia="Times New Roman" w:hAnsi="Times New Roman"/>
          <w:sz w:val="18"/>
          <w:szCs w:val="18"/>
          <w:color w:val="auto"/>
        </w:rPr>
        <w:t>The directors in Class I hold office until the 2024 Annual Meeting of Stockholders, the directors in Class II hold office until the 2025 Annual Meeting of Stockholders and the directors in Class III hold office until the 2026 Annual Meeting of Stockholders (or, in each case, until their earlier resignation, removal from office, or death). After each such election, the elected directors will then serve in succeeding terms of three years and until a successor is duly elected and qualified. Officers of the Company serve at the discretion of the Board of Directors. There are no family relationships among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directors and executive officers.</w:t>
      </w:r>
    </w:p>
    <w:p>
      <w:pPr>
        <w:spacing w:after="0" w:line="165" w:lineRule="exact"/>
        <w:rPr>
          <w:sz w:val="20"/>
          <w:szCs w:val="20"/>
          <w:color w:val="auto"/>
        </w:rPr>
      </w:pPr>
    </w:p>
    <w:p>
      <w:pPr>
        <w:ind w:right="260" w:firstLine="551"/>
        <w:spacing w:after="0" w:line="237" w:lineRule="auto"/>
        <w:rPr>
          <w:sz w:val="20"/>
          <w:szCs w:val="20"/>
          <w:color w:val="auto"/>
        </w:rPr>
      </w:pPr>
      <w:r>
        <w:rPr>
          <w:rFonts w:ascii="Times New Roman" w:cs="Times New Roman" w:eastAsia="Times New Roman" w:hAnsi="Times New Roman"/>
          <w:sz w:val="18"/>
          <w:szCs w:val="18"/>
          <w:color w:val="auto"/>
        </w:rPr>
        <w:t>The term of office for directors William H. Rastetter, Ph.D., George J. Morrow, Leslie V. Norwalk, and Christine A. Poon will expire at the 2024 Annual Meeting of Stockholders.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at the Annual Meeting</w:t>
      </w:r>
    </w:p>
    <w:p>
      <w:pPr>
        <w:spacing w:after="0" w:line="189" w:lineRule="exact"/>
        <w:rPr>
          <w:sz w:val="20"/>
          <w:szCs w:val="20"/>
          <w:color w:val="auto"/>
        </w:rPr>
      </w:pPr>
    </w:p>
    <w:p>
      <w:pPr>
        <w:ind w:right="260" w:firstLine="551"/>
        <w:spacing w:after="0" w:line="237" w:lineRule="auto"/>
        <w:rPr>
          <w:sz w:val="20"/>
          <w:szCs w:val="20"/>
          <w:color w:val="auto"/>
        </w:rPr>
      </w:pPr>
      <w:r>
        <w:rPr>
          <w:rFonts w:ascii="Times New Roman" w:cs="Times New Roman" w:eastAsia="Times New Roman" w:hAnsi="Times New Roman"/>
          <w:sz w:val="18"/>
          <w:szCs w:val="18"/>
          <w:color w:val="auto"/>
        </w:rPr>
        <w:t>All of the nominees (William H. Rastetter, Ph.D., George J. Morrow, Leslie V. Norwalk, and Christine A. Poon) are currently Class I directors of the Company. Information about the nominees is set forth below as of the date of this Proxy Statement: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of Director</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318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Position in the Company</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r>
      <w:tr>
        <w:trPr>
          <w:trHeight w:val="23"/>
        </w:trPr>
        <w:tc>
          <w:tcPr>
            <w:tcW w:w="5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William H. Rastetter, Ph.D. (1)</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shd w:val="clear" w:color="auto" w:fill="CCEEFF"/>
          </w:tcPr>
          <w:p>
            <w:pPr>
              <w:spacing w:after="0"/>
              <w:rPr>
                <w:sz w:val="18"/>
                <w:szCs w:val="18"/>
                <w:color w:val="auto"/>
              </w:rPr>
            </w:pPr>
          </w:p>
        </w:tc>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Chairman of the Board</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2010</w:t>
            </w:r>
          </w:p>
        </w:tc>
      </w:tr>
      <w:tr>
        <w:trPr>
          <w:trHeight w:val="213"/>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George J. Morrow (2)(3)</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2015</w:t>
            </w:r>
          </w:p>
        </w:tc>
      </w:tr>
      <w:tr>
        <w:trPr>
          <w:trHeight w:val="219"/>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Leslie V. Norwalk (3)</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r>
      <w:tr>
        <w:trPr>
          <w:trHeight w:val="21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Christine A. Poon (3)(4)</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r>
    </w:tbl>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w:t>
      </w:r>
    </w:p>
    <w:p>
      <w:pPr>
        <w:spacing w:after="0" w:line="202" w:lineRule="exact"/>
        <w:rPr>
          <w:sz w:val="20"/>
          <w:szCs w:val="20"/>
          <w:color w:val="auto"/>
        </w:rPr>
      </w:pPr>
    </w:p>
    <w:p>
      <w:pPr>
        <w:ind w:right="60" w:firstLine="551"/>
        <w:spacing w:after="0" w:line="237" w:lineRule="auto"/>
        <w:rPr>
          <w:sz w:val="20"/>
          <w:szCs w:val="20"/>
          <w:color w:val="auto"/>
        </w:rPr>
      </w:pPr>
      <w:r>
        <w:rPr>
          <w:rFonts w:ascii="Times New Roman" w:cs="Times New Roman" w:eastAsia="Times New Roman" w:hAnsi="Times New Roman"/>
          <w:sz w:val="18"/>
          <w:szCs w:val="18"/>
          <w:color w:val="auto"/>
        </w:rPr>
        <w:t>The Class II and III directors will remain in office after the 2024 Annual Meeting of Stockholders. The names and certain other current information about the directors whose terms of office continue after the Annual Meeting are set forth below:</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of Director</w:t>
            </w: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Age</w:t>
            </w:r>
          </w:p>
        </w:tc>
        <w:tc>
          <w:tcPr>
            <w:tcW w:w="320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Position in the Company</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r>
      <w:tr>
        <w:trPr>
          <w:trHeight w:val="216"/>
        </w:trPr>
        <w:tc>
          <w:tcPr>
            <w:tcW w:w="5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Kevin C. Gorman, Ph.D.</w:t>
            </w:r>
          </w:p>
        </w:tc>
        <w:tc>
          <w:tcPr>
            <w:tcW w:w="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66</w:t>
            </w:r>
          </w:p>
        </w:tc>
        <w:tc>
          <w:tcPr>
            <w:tcW w:w="80" w:type="dxa"/>
            <w:vAlign w:val="bottom"/>
            <w:tcBorders>
              <w:top w:val="single" w:sz="8" w:color="CCEEFF"/>
            </w:tcBorders>
            <w:shd w:val="clear" w:color="auto" w:fill="CCEEFF"/>
          </w:tcPr>
          <w:p>
            <w:pPr>
              <w:spacing w:after="0"/>
              <w:rPr>
                <w:sz w:val="18"/>
                <w:szCs w:val="18"/>
                <w:color w:val="auto"/>
              </w:rPr>
            </w:pPr>
          </w:p>
        </w:tc>
        <w:tc>
          <w:tcPr>
            <w:tcW w:w="3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Chief Executive Officer and Director</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2008</w:t>
            </w:r>
          </w:p>
        </w:tc>
      </w:tr>
      <w:tr>
        <w:trPr>
          <w:trHeight w:val="213"/>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Gary A. Lyons (1)</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73</w:t>
            </w:r>
          </w:p>
        </w:tc>
        <w:tc>
          <w:tcPr>
            <w:tcW w:w="80" w:type="dxa"/>
            <w:vAlign w:val="bottom"/>
          </w:tcPr>
          <w:p>
            <w:pPr>
              <w:spacing w:after="0"/>
              <w:rPr>
                <w:sz w:val="18"/>
                <w:szCs w:val="18"/>
                <w:color w:val="auto"/>
              </w:rPr>
            </w:pPr>
          </w:p>
        </w:tc>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24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1993</w:t>
            </w:r>
          </w:p>
        </w:tc>
      </w:tr>
      <w:tr>
        <w:trPr>
          <w:trHeight w:val="219"/>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Johanna Mercier (3)</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54</w:t>
            </w:r>
          </w:p>
        </w:tc>
        <w:tc>
          <w:tcPr>
            <w:tcW w:w="8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24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2021</w:t>
            </w:r>
          </w:p>
        </w:tc>
      </w:tr>
      <w:tr>
        <w:trPr>
          <w:trHeight w:val="213"/>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Richard F. Pops (1)(2)</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c>
          <w:tcPr>
            <w:tcW w:w="80" w:type="dxa"/>
            <w:vAlign w:val="bottom"/>
          </w:tcPr>
          <w:p>
            <w:pPr>
              <w:spacing w:after="0"/>
              <w:rPr>
                <w:sz w:val="18"/>
                <w:szCs w:val="18"/>
                <w:color w:val="auto"/>
              </w:rPr>
            </w:pPr>
          </w:p>
        </w:tc>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1998</w:t>
            </w:r>
          </w:p>
        </w:tc>
      </w:tr>
      <w:tr>
        <w:trPr>
          <w:trHeight w:val="219"/>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Shalini Sharp (2)(4)</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c>
          <w:tcPr>
            <w:tcW w:w="8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r>
      <w:tr>
        <w:trPr>
          <w:trHeight w:val="21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Stephen A. Sherwin, M.D. (1)(4)</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75</w:t>
            </w:r>
          </w:p>
        </w:tc>
        <w:tc>
          <w:tcPr>
            <w:tcW w:w="80" w:type="dxa"/>
            <w:vAlign w:val="bottom"/>
          </w:tcPr>
          <w:p>
            <w:pPr>
              <w:spacing w:after="0"/>
              <w:rPr>
                <w:sz w:val="18"/>
                <w:szCs w:val="18"/>
                <w:color w:val="auto"/>
              </w:rPr>
            </w:pPr>
          </w:p>
        </w:tc>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5"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Science and Medical Technology Committee.</w:t>
      </w:r>
    </w:p>
    <w:p>
      <w:pPr>
        <w:ind w:left="320" w:hanging="312"/>
        <w:spacing w:after="0" w:line="221" w:lineRule="auto"/>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Committee.</w:t>
      </w:r>
    </w:p>
    <w:p>
      <w:pPr>
        <w:ind w:left="320" w:hanging="312"/>
        <w:spacing w:after="0" w:line="221" w:lineRule="auto"/>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Nominating / Corporate Governance Committee.</w:t>
      </w: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02" w:lineRule="exact"/>
        <w:rPr>
          <w:sz w:val="20"/>
          <w:szCs w:val="20"/>
          <w:color w:val="auto"/>
        </w:rPr>
      </w:pPr>
    </w:p>
    <w:p>
      <w:pPr>
        <w:ind w:right="380" w:firstLine="551"/>
        <w:spacing w:after="0" w:line="229" w:lineRule="auto"/>
        <w:rPr>
          <w:sz w:val="20"/>
          <w:szCs w:val="20"/>
          <w:color w:val="auto"/>
        </w:rPr>
      </w:pPr>
      <w:r>
        <w:rPr>
          <w:rFonts w:ascii="Times New Roman" w:cs="Times New Roman" w:eastAsia="Times New Roman" w:hAnsi="Times New Roman"/>
          <w:sz w:val="17"/>
          <w:szCs w:val="17"/>
          <w:color w:val="auto"/>
        </w:rPr>
        <w:t>The nominees receiving the affirmative vote of a plurality of the shares represented in person or by proxy at the 2024 Annual Meeting of Stockholders and entitled to vote on the election of directors will be elected to the Board of Directors. If a nominee receives a greater number of votes “withheld” than votes “for” such election, the nominee shall tender his or her resignation to the Board of Directors in accordance with our director</w:t>
      </w:r>
    </w:p>
    <w:p>
      <w:pPr>
        <w:ind w:right="140"/>
        <w:spacing w:after="0" w:line="220" w:lineRule="auto"/>
        <w:rPr>
          <w:sz w:val="20"/>
          <w:szCs w:val="20"/>
          <w:color w:val="auto"/>
        </w:rPr>
      </w:pPr>
      <w:r>
        <w:rPr>
          <w:rFonts w:ascii="Times New Roman" w:cs="Times New Roman" w:eastAsia="Times New Roman" w:hAnsi="Times New Roman"/>
          <w:sz w:val="17"/>
          <w:szCs w:val="17"/>
          <w:color w:val="auto"/>
        </w:rPr>
        <w:t>resignation policy. The Nominating / Corporate Governance Committee will consider all of the relevant factors and recommend to the Board of Directors whether to accept or reject the resignation. The Board of Directors will act on the Nominating / Corporate Governance Committee's recommendation within 90 days of the annual meeting. Following the Board’s decision on the Nominating / Corporate Governance Committee’s recommendation,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will publicly disclose the Board’s decision whether to accept the resignation as tendered in a Form 8-K filed with the SEC.</w:t>
      </w:r>
    </w:p>
    <w:p>
      <w:pPr>
        <w:spacing w:after="0" w:line="165" w:lineRule="exact"/>
        <w:rPr>
          <w:sz w:val="20"/>
          <w:szCs w:val="20"/>
          <w:color w:val="auto"/>
        </w:rPr>
      </w:pPr>
    </w:p>
    <w:p>
      <w:pPr>
        <w:ind w:firstLine="551"/>
        <w:spacing w:after="0" w:line="237" w:lineRule="auto"/>
        <w:rPr>
          <w:sz w:val="20"/>
          <w:szCs w:val="20"/>
          <w:color w:val="auto"/>
        </w:rPr>
      </w:pPr>
      <w:r>
        <w:rPr>
          <w:rFonts w:ascii="Times New Roman" w:cs="Times New Roman" w:eastAsia="Times New Roman" w:hAnsi="Times New Roman"/>
          <w:sz w:val="18"/>
          <w:szCs w:val="18"/>
          <w:color w:val="auto"/>
        </w:rPr>
        <w:t>Votes withheld from any director are counted for purposes of determining the presence or absence of a quorum, but have no other legal effect under Delaware law.</w:t>
      </w:r>
    </w:p>
    <w:p>
      <w:pPr>
        <w:spacing w:after="0" w:line="172" w:lineRule="exact"/>
        <w:rPr>
          <w:sz w:val="20"/>
          <w:szCs w:val="20"/>
          <w:color w:val="auto"/>
        </w:rPr>
      </w:pPr>
    </w:p>
    <w:p>
      <w:pPr>
        <w:jc w:val="both"/>
        <w:ind w:right="120" w:firstLine="551"/>
        <w:spacing w:after="0" w:line="229" w:lineRule="auto"/>
        <w:rPr>
          <w:sz w:val="20"/>
          <w:szCs w:val="20"/>
          <w:color w:val="auto"/>
        </w:rPr>
      </w:pPr>
      <w:r>
        <w:rPr>
          <w:rFonts w:ascii="Times New Roman" w:cs="Times New Roman" w:eastAsia="Times New Roman" w:hAnsi="Times New Roman"/>
          <w:sz w:val="17"/>
          <w:szCs w:val="17"/>
          <w:color w:val="auto"/>
        </w:rPr>
        <w:t>Unless otherwise instructed, the proxy holders will vote the proxies received by them for the Company’s Class I nominees named above. If any of the Company’s nominees is unable or declines to serve as a director at the time of the Annual Meeting, the proxies will be voted for any nominee who is designated by the present Board of Directors to fill the vacancy. It is not expected that any of the Company’s nominees will be unable or will decline to</w:t>
      </w:r>
    </w:p>
    <w:p>
      <w:pPr>
        <w:spacing w:after="0"/>
        <w:rPr>
          <w:sz w:val="20"/>
          <w:szCs w:val="20"/>
          <w:color w:val="auto"/>
        </w:rPr>
      </w:pPr>
      <w:r>
        <w:rPr>
          <w:rFonts w:ascii="Times New Roman" w:cs="Times New Roman" w:eastAsia="Times New Roman" w:hAnsi="Times New Roman"/>
          <w:sz w:val="18"/>
          <w:szCs w:val="18"/>
          <w:color w:val="auto"/>
        </w:rPr>
        <w:t xml:space="preserve">serve as a director. </w:t>
      </w:r>
      <w:r>
        <w:rPr>
          <w:rFonts w:ascii="Times New Roman" w:cs="Times New Roman" w:eastAsia="Times New Roman" w:hAnsi="Times New Roman"/>
          <w:sz w:val="18"/>
          <w:szCs w:val="18"/>
          <w:b w:val="1"/>
          <w:bCs w:val="1"/>
          <w:color w:val="auto"/>
        </w:rPr>
        <w:t>The Board of Directors unanimously recommends that stockholders vote “FOR” the Class I nominees named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TWO: ADVISORY VOTE ON</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PAID TO THE COMPANY’S NAMED EXECUTIVE OFFICERS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the 2023 Annual Meeting of Stockholders, the Board of Directors, as a matter of good corporate governance, recommended that the stockholders</w:t>
      </w:r>
    </w:p>
    <w:p>
      <w:pPr>
        <w:spacing w:after="0" w:line="2" w:lineRule="exact"/>
        <w:rPr>
          <w:sz w:val="20"/>
          <w:szCs w:val="20"/>
          <w:color w:val="auto"/>
        </w:rPr>
      </w:pPr>
    </w:p>
    <w:p>
      <w:pPr>
        <w:ind w:right="120"/>
        <w:spacing w:after="0" w:line="208" w:lineRule="auto"/>
        <w:rPr>
          <w:sz w:val="20"/>
          <w:szCs w:val="20"/>
          <w:color w:val="auto"/>
        </w:rPr>
      </w:pPr>
      <w:r>
        <w:rPr>
          <w:rFonts w:ascii="Times New Roman" w:cs="Times New Roman" w:eastAsia="Times New Roman" w:hAnsi="Times New Roman"/>
          <w:sz w:val="18"/>
          <w:szCs w:val="18"/>
          <w:color w:val="auto"/>
        </w:rPr>
        <w:t>approve an advisory vote on Named Executive Officer compensation (“say-on-pay”) on an annual basis. Approximately 99% of the stockholder votes cast at the 2023 Annual Meeting of Stockholders were for the Company’s recommendation, and in response the Company holds an annual say-on-pay vote. This annual vote is not intended to address any specific compensation item, but rather the overall compensation of the Company’s Named Executive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and the philosophy, policies and practices described in this Proxy Statement.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Company’s Executive Compensation Philosophy</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Compensation Committee of the Board of Directors bases its executive compensation decisions on a number of objectives which include</w:t>
      </w:r>
    </w:p>
    <w:p>
      <w:pPr>
        <w:spacing w:after="0" w:line="2" w:lineRule="exact"/>
        <w:rPr>
          <w:sz w:val="20"/>
          <w:szCs w:val="20"/>
          <w:color w:val="auto"/>
        </w:rPr>
      </w:pPr>
    </w:p>
    <w:p>
      <w:pPr>
        <w:ind w:right="80"/>
        <w:spacing w:after="0" w:line="218" w:lineRule="auto"/>
        <w:rPr>
          <w:sz w:val="20"/>
          <w:szCs w:val="20"/>
          <w:color w:val="auto"/>
        </w:rPr>
      </w:pPr>
      <w:r>
        <w:rPr>
          <w:rFonts w:ascii="Times New Roman" w:cs="Times New Roman" w:eastAsia="Times New Roman" w:hAnsi="Times New Roman"/>
          <w:sz w:val="18"/>
          <w:szCs w:val="18"/>
          <w:color w:val="auto"/>
        </w:rPr>
        <w:t>aligning management incentives with interests of stockholders, providing competitive compensation, appropriately balancing compensation risk in the context of the Company’s business strategy and meeting evolving compensation governance standards. The philosophy of the Compensation Committee in establishing the Company’s compensation policy for executive officers as well as all other employees is to:</w:t>
      </w:r>
    </w:p>
    <w:p>
      <w:pPr>
        <w:spacing w:after="0" w:line="199"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compensation plans with both short-term and long-term goals and objectives of the Company and stockholder interests;</w:t>
      </w:r>
    </w:p>
    <w:p>
      <w:pPr>
        <w:spacing w:after="0" w:line="27" w:lineRule="exact"/>
        <w:rPr>
          <w:rFonts w:ascii="Times New Roman" w:cs="Times New Roman" w:eastAsia="Times New Roman" w:hAnsi="Times New Roman"/>
          <w:sz w:val="18"/>
          <w:szCs w:val="18"/>
          <w:color w:val="auto"/>
        </w:rPr>
      </w:pPr>
    </w:p>
    <w:p>
      <w:pPr>
        <w:ind w:left="980" w:right="440" w:hanging="324"/>
        <w:spacing w:after="0" w:line="234"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highly skilled individuals by offering compensation that compares favorably to other employers who are competing for available employees;</w:t>
      </w:r>
    </w:p>
    <w:p>
      <w:pPr>
        <w:spacing w:after="0" w:line="1" w:lineRule="exact"/>
        <w:rPr>
          <w:rFonts w:ascii="Times New Roman" w:cs="Times New Roman" w:eastAsia="Times New Roman" w:hAnsi="Times New Roman"/>
          <w:sz w:val="18"/>
          <w:szCs w:val="18"/>
          <w:color w:val="auto"/>
        </w:rPr>
      </w:pPr>
    </w:p>
    <w:p>
      <w:pPr>
        <w:ind w:left="980" w:right="160" w:hanging="324"/>
        <w:spacing w:after="0" w:line="24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incentivize employees through a mix of base salary, bonus amounts based on achievement of defined corporate and personal goals and long-term equity awards to generate returns for stockholders; and</w:t>
      </w:r>
    </w:p>
    <w:p>
      <w:pPr>
        <w:spacing w:after="0" w:line="1" w:lineRule="exact"/>
        <w:rPr>
          <w:rFonts w:ascii="Times New Roman" w:cs="Times New Roman" w:eastAsia="Times New Roman" w:hAnsi="Times New Roman"/>
          <w:sz w:val="18"/>
          <w:szCs w:val="18"/>
          <w:color w:val="auto"/>
        </w:rPr>
      </w:pPr>
    </w:p>
    <w:p>
      <w:pPr>
        <w:ind w:left="980" w:right="80" w:hanging="324"/>
        <w:spacing w:after="0" w:line="234"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for performance by ensuring that an ever-increasing percentage of an individual’s compensation is performance-based as they progress to higher levels within the Company.</w:t>
      </w:r>
    </w:p>
    <w:p>
      <w:pPr>
        <w:spacing w:after="0" w:line="172" w:lineRule="exact"/>
        <w:rPr>
          <w:sz w:val="20"/>
          <w:szCs w:val="20"/>
          <w:color w:val="auto"/>
        </w:rPr>
      </w:pPr>
    </w:p>
    <w:p>
      <w:pPr>
        <w:ind w:firstLine="551"/>
        <w:spacing w:after="0" w:line="229" w:lineRule="auto"/>
        <w:rPr>
          <w:sz w:val="20"/>
          <w:szCs w:val="20"/>
          <w:color w:val="auto"/>
        </w:rPr>
      </w:pPr>
      <w:r>
        <w:rPr>
          <w:rFonts w:ascii="Times New Roman" w:cs="Times New Roman" w:eastAsia="Times New Roman" w:hAnsi="Times New Roman"/>
          <w:sz w:val="17"/>
          <w:szCs w:val="17"/>
          <w:color w:val="auto"/>
        </w:rPr>
        <w:t>As discussed below in the Compensation Discussion and Analysis, we believe we have adopted a compensation philosophy that provides strong alignment between executive pay and performance based on strategic goals designed to provide both near-term and long-term growth in stockholder value. The historical approval rates, on an advisory basis, for the Company’s executive compensation program have been over 92% for each of the 2021, 2022 and</w:t>
      </w:r>
    </w:p>
    <w:p>
      <w:pPr>
        <w:ind w:right="160"/>
        <w:spacing w:after="0" w:line="218" w:lineRule="auto"/>
        <w:rPr>
          <w:sz w:val="20"/>
          <w:szCs w:val="20"/>
          <w:color w:val="auto"/>
        </w:rPr>
      </w:pPr>
      <w:r>
        <w:rPr>
          <w:rFonts w:ascii="Times New Roman" w:cs="Times New Roman" w:eastAsia="Times New Roman" w:hAnsi="Times New Roman"/>
          <w:sz w:val="18"/>
          <w:szCs w:val="18"/>
          <w:color w:val="auto"/>
        </w:rPr>
        <w:t>2023 Annual Meetings of Stockholders. The Compensation Committee and our Board of Directors believe that this level of approval of our executive compensation program is indicative of our stockholders’ strong support of our compensation philosophy and goals as well as the overall administration of executive compensation by the Compensation Committee and the Board of Directors.</w:t>
      </w:r>
    </w:p>
    <w:p>
      <w:pPr>
        <w:spacing w:after="0" w:line="172" w:lineRule="exact"/>
        <w:rPr>
          <w:sz w:val="20"/>
          <w:szCs w:val="20"/>
          <w:color w:val="auto"/>
        </w:rPr>
      </w:pPr>
    </w:p>
    <w:p>
      <w:pPr>
        <w:ind w:right="40" w:firstLine="551"/>
        <w:spacing w:after="0" w:line="216" w:lineRule="auto"/>
        <w:rPr>
          <w:sz w:val="20"/>
          <w:szCs w:val="20"/>
          <w:color w:val="auto"/>
        </w:rPr>
      </w:pPr>
      <w:r>
        <w:rPr>
          <w:rFonts w:ascii="Times New Roman" w:cs="Times New Roman" w:eastAsia="Times New Roman" w:hAnsi="Times New Roman"/>
          <w:sz w:val="18"/>
          <w:szCs w:val="18"/>
          <w:color w:val="auto"/>
        </w:rPr>
        <w:t>You are being asked to approve on an advisory basis, the compensation paid to the Company’s Named Executive Officers as set forth in the Compensation Discussion and Analysis, Summary Compensation Table and related notes and narrative set forth herein. This vote is not intended to address any specific compensation item, but rather the overall compensation of the Company’s Named Executive Officers and the philosophy, policies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practices described in this Proxy Statement.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say-on-pay vote is advisory and therefore not binding on the Company, the Compensation Committee or the Board of Directors. However, we</w:t>
      </w:r>
    </w:p>
    <w:p>
      <w:pPr>
        <w:spacing w:after="0" w:line="2" w:lineRule="exact"/>
        <w:rPr>
          <w:sz w:val="20"/>
          <w:szCs w:val="20"/>
          <w:color w:val="auto"/>
        </w:rPr>
      </w:pPr>
    </w:p>
    <w:p>
      <w:pPr>
        <w:ind w:right="200"/>
        <w:spacing w:after="0" w:line="220" w:lineRule="auto"/>
        <w:rPr>
          <w:sz w:val="20"/>
          <w:szCs w:val="20"/>
          <w:color w:val="auto"/>
        </w:rPr>
      </w:pPr>
      <w:r>
        <w:rPr>
          <w:rFonts w:ascii="Times New Roman" w:cs="Times New Roman" w:eastAsia="Times New Roman" w:hAnsi="Times New Roman"/>
          <w:sz w:val="17"/>
          <w:szCs w:val="17"/>
          <w:color w:val="auto"/>
        </w:rPr>
        <w:t xml:space="preserve">value the opinions of our stockholders and will review and will continue to consider the outcome of this advisory vote when making future compensation decisions for our Named Executive Officers and will evaluate whether any actions are necessary to address the stockholders’ concerns. Approval of this advisory vote requires the affirmative vote of the majority of shares represented in person or by proxy and entitled to vote on the item. </w:t>
      </w:r>
      <w:r>
        <w:rPr>
          <w:rFonts w:ascii="Times New Roman" w:cs="Times New Roman" w:eastAsia="Times New Roman" w:hAnsi="Times New Roman"/>
          <w:sz w:val="17"/>
          <w:szCs w:val="17"/>
          <w:b w:val="1"/>
          <w:bCs w:val="1"/>
          <w:color w:val="auto"/>
        </w:rPr>
        <w:t>The Board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unanimously recommends voting “FOR” approval of the Company’s Named Executive Officers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THREE: APPROVAL OF AN AMENDMENT TO THE 2020 EQUITY INCENTIVE PLAN</w:t>
      </w:r>
    </w:p>
    <w:p>
      <w:pPr>
        <w:spacing w:after="0" w:line="202" w:lineRule="exact"/>
        <w:rPr>
          <w:sz w:val="20"/>
          <w:szCs w:val="20"/>
          <w:color w:val="auto"/>
        </w:rPr>
      </w:pPr>
    </w:p>
    <w:p>
      <w:pPr>
        <w:ind w:right="160" w:firstLine="551"/>
        <w:spacing w:after="0" w:line="237" w:lineRule="auto"/>
        <w:rPr>
          <w:sz w:val="20"/>
          <w:szCs w:val="20"/>
          <w:color w:val="auto"/>
        </w:rPr>
      </w:pPr>
      <w:r>
        <w:rPr>
          <w:rFonts w:ascii="Times New Roman" w:cs="Times New Roman" w:eastAsia="Times New Roman" w:hAnsi="Times New Roman"/>
          <w:sz w:val="18"/>
          <w:szCs w:val="18"/>
          <w:color w:val="auto"/>
        </w:rPr>
        <w:t>We are asking our stockholders to approve an amendment to the Neurocrine Biosciences, Inc. 2020 Equity Incentive Plan (the “2020 Plan”) at the Annual Meeting. We refer to such amendment of the 2020 Plan in this Proxy Statement as the “Amended 2020 Plan”.</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this Proposal Three, we are seeking stockholder approval of the Amended 2020 Plan to make the following material changes from the 2020 Plan:</w:t>
      </w:r>
    </w:p>
    <w:p>
      <w:pPr>
        <w:spacing w:after="0" w:line="225" w:lineRule="exact"/>
        <w:rPr>
          <w:sz w:val="20"/>
          <w:szCs w:val="20"/>
          <w:color w:val="auto"/>
        </w:rPr>
      </w:pPr>
    </w:p>
    <w:p>
      <w:pPr>
        <w:ind w:left="980" w:right="80" w:hanging="324"/>
        <w:spacing w:after="0" w:line="237"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aggregate number of shares of our common stock that may be issued under the Amended 2020 Plan by 3,635,000 shares, subject to adjustment for certain changes in our capitalization; and</w:t>
      </w:r>
    </w:p>
    <w:p>
      <w:pPr>
        <w:spacing w:after="0" w:line="1" w:lineRule="exact"/>
        <w:rPr>
          <w:rFonts w:ascii="Times New Roman" w:cs="Times New Roman" w:eastAsia="Times New Roman" w:hAnsi="Times New Roman"/>
          <w:sz w:val="18"/>
          <w:szCs w:val="18"/>
          <w:color w:val="auto"/>
        </w:rPr>
      </w:pPr>
    </w:p>
    <w:p>
      <w:pPr>
        <w:ind w:left="980" w:right="80" w:hanging="324"/>
        <w:spacing w:after="0" w:line="229"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aggregate maximum number of shares of our common stock that may be issued pursuant to the exercise of incentive stock options under the Amended 2020 Plan by 3,635,000 shares (for a total of 34,135,000 shares), subject to adjustment for certain changes in our capitalization.</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this Proposal Three is approved by our stockholders, the Amended 2020 Plan will become effective as of the date of the Annual Meeting. In the</w:t>
      </w:r>
    </w:p>
    <w:p>
      <w:pPr>
        <w:spacing w:after="0" w:line="2" w:lineRule="exact"/>
        <w:rPr>
          <w:sz w:val="20"/>
          <w:szCs w:val="20"/>
          <w:color w:val="auto"/>
        </w:rPr>
      </w:pPr>
    </w:p>
    <w:p>
      <w:pPr>
        <w:ind w:right="280"/>
        <w:spacing w:after="0" w:line="226" w:lineRule="auto"/>
        <w:rPr>
          <w:sz w:val="20"/>
          <w:szCs w:val="20"/>
          <w:color w:val="auto"/>
        </w:rPr>
      </w:pPr>
      <w:r>
        <w:rPr>
          <w:rFonts w:ascii="Times New Roman" w:cs="Times New Roman" w:eastAsia="Times New Roman" w:hAnsi="Times New Roman"/>
          <w:sz w:val="18"/>
          <w:szCs w:val="18"/>
          <w:color w:val="auto"/>
        </w:rPr>
        <w:t>event that our stockholders do not approve this Proposal Three, the Amended 2020 Plan will not become effective and the 2020 Plan will continue to be effective in accordance with its terms.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We Are Asking Our Stockholders to Approve the Amended 2020 Plan</w:t>
      </w:r>
    </w:p>
    <w:p>
      <w:pPr>
        <w:spacing w:after="0" w:line="202" w:lineRule="exact"/>
        <w:rPr>
          <w:sz w:val="20"/>
          <w:szCs w:val="20"/>
          <w:color w:val="auto"/>
        </w:rPr>
      </w:pPr>
    </w:p>
    <w:p>
      <w:pPr>
        <w:ind w:right="80" w:firstLine="551"/>
        <w:spacing w:after="0" w:line="226" w:lineRule="auto"/>
        <w:rPr>
          <w:sz w:val="20"/>
          <w:szCs w:val="20"/>
          <w:color w:val="auto"/>
        </w:rPr>
      </w:pPr>
      <w:r>
        <w:rPr>
          <w:rFonts w:ascii="Times New Roman" w:cs="Times New Roman" w:eastAsia="Times New Roman" w:hAnsi="Times New Roman"/>
          <w:sz w:val="18"/>
          <w:szCs w:val="18"/>
          <w:color w:val="auto"/>
        </w:rPr>
        <w:t>We are seeking stockholder approval of the Amended 2020 Plan to increase the number of shares available for the grant of stock options, restricted stock unit awards and other awards to our employees, directors and consultants, which will enable us to have a competitive equity incentive program to compete with our peer group for key talent.</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Approval of the Amended 2020 Plan by our stockholders will allow us to continue to grant stock options, restricted stock unit awards and other</w:t>
      </w:r>
    </w:p>
    <w:p>
      <w:pPr>
        <w:spacing w:after="0" w:line="2" w:lineRule="exact"/>
        <w:rPr>
          <w:sz w:val="20"/>
          <w:szCs w:val="20"/>
          <w:color w:val="auto"/>
        </w:rPr>
      </w:pPr>
    </w:p>
    <w:p>
      <w:pPr>
        <w:ind w:right="100"/>
        <w:spacing w:after="0" w:line="218" w:lineRule="auto"/>
        <w:rPr>
          <w:sz w:val="20"/>
          <w:szCs w:val="20"/>
          <w:color w:val="auto"/>
        </w:rPr>
      </w:pPr>
      <w:r>
        <w:rPr>
          <w:rFonts w:ascii="Times New Roman" w:cs="Times New Roman" w:eastAsia="Times New Roman" w:hAnsi="Times New Roman"/>
          <w:sz w:val="18"/>
          <w:szCs w:val="18"/>
          <w:color w:val="auto"/>
        </w:rPr>
        <w:t>awards at levels determined appropriate by the Board of Directors or Compensation Committee. The Amended 2020 Plan will also allow us to continue to utilize a broad array of equity incentives in order to secure and retain the services of our employees, directors and consultants, and to provide long-term incentives that align the interests of our employees, directors and consultants with the interests of our stockholders.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Requested Shares</w:t>
      </w:r>
    </w:p>
    <w:p>
      <w:pPr>
        <w:spacing w:after="0" w:line="189" w:lineRule="exact"/>
        <w:rPr>
          <w:sz w:val="20"/>
          <w:szCs w:val="20"/>
          <w:color w:val="auto"/>
        </w:rPr>
      </w:pPr>
    </w:p>
    <w:p>
      <w:pPr>
        <w:ind w:right="100" w:firstLine="551"/>
        <w:spacing w:after="0" w:line="237" w:lineRule="auto"/>
        <w:rPr>
          <w:sz w:val="20"/>
          <w:szCs w:val="20"/>
          <w:color w:val="auto"/>
        </w:rPr>
      </w:pPr>
      <w:r>
        <w:rPr>
          <w:rFonts w:ascii="Times New Roman" w:cs="Times New Roman" w:eastAsia="Times New Roman" w:hAnsi="Times New Roman"/>
          <w:sz w:val="18"/>
          <w:szCs w:val="18"/>
          <w:color w:val="auto"/>
        </w:rPr>
        <w:t>If this Proposal Three is approved by our stockholders, then subject to adjustment for certain changes in our capitalization, an additional 3,635,000 shares of our common stock will be available for issuance under the Amended 2020 Plan.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Approval</w:t>
      </w:r>
    </w:p>
    <w:p>
      <w:pPr>
        <w:spacing w:after="0" w:line="189" w:lineRule="exact"/>
        <w:rPr>
          <w:sz w:val="20"/>
          <w:szCs w:val="20"/>
          <w:color w:val="auto"/>
        </w:rPr>
      </w:pPr>
    </w:p>
    <w:p>
      <w:pPr>
        <w:jc w:val="both"/>
        <w:ind w:right="320" w:firstLine="551"/>
        <w:spacing w:after="0" w:line="263" w:lineRule="auto"/>
        <w:rPr>
          <w:sz w:val="20"/>
          <w:szCs w:val="20"/>
          <w:color w:val="auto"/>
        </w:rPr>
      </w:pPr>
      <w:r>
        <w:rPr>
          <w:rFonts w:ascii="Times New Roman" w:cs="Times New Roman" w:eastAsia="Times New Roman" w:hAnsi="Times New Roman"/>
          <w:sz w:val="17"/>
          <w:szCs w:val="17"/>
          <w:color w:val="auto"/>
        </w:rPr>
        <w:t>If this Proposal Three is approved by our stockholders, the Amended 2020 Plan will become effective as of May 22, 2024. In the event that our stockholders do not approve this Proposal Three, the Amended 2020 Plan will not become effective and the 2020 Plan will continue in its current form.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You Should Vote to Approve the Amended 2020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 Are an Important Part of Our Compensation Philosophy</w:t>
      </w:r>
    </w:p>
    <w:p>
      <w:pPr>
        <w:spacing w:after="0" w:line="202" w:lineRule="exact"/>
        <w:rPr>
          <w:sz w:val="20"/>
          <w:szCs w:val="20"/>
          <w:color w:val="auto"/>
        </w:rPr>
      </w:pPr>
    </w:p>
    <w:p>
      <w:pPr>
        <w:ind w:right="640" w:firstLine="551"/>
        <w:spacing w:after="0" w:line="229" w:lineRule="auto"/>
        <w:rPr>
          <w:sz w:val="20"/>
          <w:szCs w:val="20"/>
          <w:color w:val="auto"/>
        </w:rPr>
      </w:pPr>
      <w:r>
        <w:rPr>
          <w:rFonts w:ascii="Times New Roman" w:cs="Times New Roman" w:eastAsia="Times New Roman" w:hAnsi="Times New Roman"/>
          <w:sz w:val="17"/>
          <w:szCs w:val="17"/>
          <w:color w:val="auto"/>
        </w:rPr>
        <w:t>The Board of Directors believes that the grant of equity awards is a key element underlying our ability to attract, retain and motivate our employees, directors and consultants because of the strong competition for highly trained and experienced individuals among biopharmaceutical companies. Therefore, the Board of Directors believes that the Amended 2020 Plan is in the best interests of our business and our stockholders and</w:t>
      </w:r>
    </w:p>
    <w:p>
      <w:pPr>
        <w:spacing w:after="0"/>
        <w:rPr>
          <w:sz w:val="20"/>
          <w:szCs w:val="20"/>
          <w:color w:val="auto"/>
        </w:rPr>
      </w:pPr>
      <w:r>
        <w:rPr>
          <w:rFonts w:ascii="Times New Roman" w:cs="Times New Roman" w:eastAsia="Times New Roman" w:hAnsi="Times New Roman"/>
          <w:sz w:val="18"/>
          <w:szCs w:val="18"/>
          <w:color w:val="auto"/>
        </w:rPr>
        <w:t>unanimously recommends a vote in favor of this Proposal Three.</w:t>
      </w:r>
    </w:p>
    <w:p>
      <w:pPr>
        <w:spacing w:after="0" w:line="15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The Amended 2020 Plan will allow us to continue to utilize equity awards as long-term incentives to secure and retain the services of our</w:t>
      </w:r>
    </w:p>
    <w:p>
      <w:pPr>
        <w:jc w:val="center"/>
        <w:ind w:right="260"/>
        <w:spacing w:after="0" w:line="232" w:lineRule="auto"/>
        <w:rPr>
          <w:sz w:val="20"/>
          <w:szCs w:val="20"/>
          <w:color w:val="auto"/>
        </w:rPr>
      </w:pPr>
      <w:r>
        <w:rPr>
          <w:rFonts w:ascii="Times New Roman" w:cs="Times New Roman" w:eastAsia="Times New Roman" w:hAnsi="Times New Roman"/>
          <w:sz w:val="17"/>
          <w:szCs w:val="17"/>
          <w:color w:val="auto"/>
        </w:rPr>
        <w:t>employees, directors and consultants, consistent with our compensation philosophy and common compensation practice for our industry. To date, equity</w:t>
      </w:r>
    </w:p>
    <w:p>
      <w:pPr>
        <w:ind w:right="120"/>
        <w:spacing w:after="0" w:line="220" w:lineRule="auto"/>
        <w:rPr>
          <w:sz w:val="20"/>
          <w:szCs w:val="20"/>
          <w:color w:val="auto"/>
        </w:rPr>
      </w:pPr>
      <w:r>
        <w:rPr>
          <w:rFonts w:ascii="Times New Roman" w:cs="Times New Roman" w:eastAsia="Times New Roman" w:hAnsi="Times New Roman"/>
          <w:sz w:val="17"/>
          <w:szCs w:val="17"/>
          <w:color w:val="auto"/>
        </w:rPr>
        <w:t>awards have been a key aspect of our program to attract and retain key employees, directors and consultants. We believe the use of equity awards strongly aligns the interests of our employees with those of our stockholders by placing a considerable proportion of our employees’ total compensation “at risk” because it is contingent on the appreciation in value of our common stock. In addition, we believe equity awards encourage employee ownership of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and promote retention through the reward of long-term Company performance.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Carefully Manage the Use of Equity Awards and Dilution is Reasonable</w:t>
      </w:r>
    </w:p>
    <w:p>
      <w:pPr>
        <w:spacing w:after="0" w:line="202" w:lineRule="exact"/>
        <w:rPr>
          <w:sz w:val="20"/>
          <w:szCs w:val="20"/>
          <w:color w:val="auto"/>
        </w:rPr>
      </w:pPr>
    </w:p>
    <w:p>
      <w:pPr>
        <w:ind w:right="280" w:firstLine="551"/>
        <w:spacing w:after="0" w:line="229" w:lineRule="auto"/>
        <w:rPr>
          <w:sz w:val="20"/>
          <w:szCs w:val="20"/>
          <w:color w:val="auto"/>
        </w:rPr>
      </w:pPr>
      <w:r>
        <w:rPr>
          <w:rFonts w:ascii="Times New Roman" w:cs="Times New Roman" w:eastAsia="Times New Roman" w:hAnsi="Times New Roman"/>
          <w:sz w:val="17"/>
          <w:szCs w:val="17"/>
          <w:color w:val="auto"/>
        </w:rPr>
        <w:t>Our compensation philosophy reflects broad-based eligibility for equity awards, and we grant awards to substantially all of our employees. However, we recognize that equity awards dilute existing stockholders, and, therefore, we are mindful to responsibly manage the growth of our equity compensation program. We are committed to effectively monitoring our equity compensation share reserve, including our “burn rate,” to ensure that we</w:t>
      </w:r>
    </w:p>
    <w:p>
      <w:pPr>
        <w:ind w:right="560"/>
        <w:spacing w:after="0" w:line="226" w:lineRule="auto"/>
        <w:rPr>
          <w:sz w:val="20"/>
          <w:szCs w:val="20"/>
          <w:color w:val="auto"/>
        </w:rPr>
      </w:pPr>
      <w:r>
        <w:rPr>
          <w:rFonts w:ascii="Times New Roman" w:cs="Times New Roman" w:eastAsia="Times New Roman" w:hAnsi="Times New Roman"/>
          <w:sz w:val="18"/>
          <w:szCs w:val="18"/>
          <w:color w:val="auto"/>
        </w:rPr>
        <w:t>maximize stockholders’ value by granting the appropriate number of equity awards necessary to attract, reward, and retain employees, directors and consultants.</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detailed information regarding our burn rate and the activity related to our equity incentive plans for 2023, 2022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tcPr>
          <w:p>
            <w:pPr>
              <w:spacing w:after="0"/>
              <w:rPr>
                <w:sz w:val="16"/>
                <w:szCs w:val="16"/>
                <w:color w:val="auto"/>
              </w:rPr>
            </w:pPr>
          </w:p>
        </w:tc>
        <w:tc>
          <w:tcPr>
            <w:tcW w:w="126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26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26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2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7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number of shares of common stock subject to stock options granted</w:t>
            </w:r>
          </w:p>
        </w:tc>
        <w:tc>
          <w:tcPr>
            <w:tcW w:w="1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1,900,000</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2,200,000</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1,800,000</w:t>
            </w:r>
          </w:p>
        </w:tc>
      </w:tr>
      <w:tr>
        <w:trPr>
          <w:trHeight w:val="213"/>
        </w:trPr>
        <w:tc>
          <w:tcPr>
            <w:tcW w:w="7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number of shares of common stock subject to full value awards granted</w:t>
            </w: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1,300,000</w:t>
            </w:r>
          </w:p>
        </w:tc>
        <w:tc>
          <w:tcPr>
            <w:tcW w:w="80" w:type="dxa"/>
            <w:vAlign w:val="bottom"/>
          </w:tcPr>
          <w:p>
            <w:pPr>
              <w:spacing w:after="0"/>
              <w:rPr>
                <w:sz w:val="18"/>
                <w:szCs w:val="18"/>
                <w:color w:val="auto"/>
              </w:rPr>
            </w:pP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1,400,000</w:t>
            </w:r>
          </w:p>
        </w:tc>
        <w:tc>
          <w:tcPr>
            <w:tcW w:w="80" w:type="dxa"/>
            <w:vAlign w:val="bottom"/>
          </w:tcPr>
          <w:p>
            <w:pPr>
              <w:spacing w:after="0"/>
              <w:rPr>
                <w:sz w:val="18"/>
                <w:szCs w:val="18"/>
                <w:color w:val="auto"/>
              </w:rPr>
            </w:pP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1,400,000</w:t>
            </w:r>
          </w:p>
        </w:tc>
      </w:tr>
      <w:tr>
        <w:trPr>
          <w:trHeight w:val="219"/>
        </w:trPr>
        <w:tc>
          <w:tcPr>
            <w:tcW w:w="7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w:t>
            </w:r>
          </w:p>
        </w:tc>
        <w:tc>
          <w:tcPr>
            <w:tcW w:w="1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97,700,000</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95,800,000</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94,600,000</w:t>
            </w:r>
          </w:p>
        </w:tc>
      </w:tr>
      <w:tr>
        <w:trPr>
          <w:trHeight w:val="210"/>
        </w:trPr>
        <w:tc>
          <w:tcPr>
            <w:tcW w:w="7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Burn Rate (1)</w:t>
            </w: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3.28%</w:t>
            </w:r>
          </w:p>
        </w:tc>
        <w:tc>
          <w:tcPr>
            <w:tcW w:w="80" w:type="dxa"/>
            <w:vAlign w:val="bottom"/>
          </w:tcPr>
          <w:p>
            <w:pPr>
              <w:spacing w:after="0"/>
              <w:rPr>
                <w:sz w:val="18"/>
                <w:szCs w:val="18"/>
                <w:color w:val="auto"/>
              </w:rPr>
            </w:pP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3.76%</w:t>
            </w:r>
          </w:p>
        </w:tc>
        <w:tc>
          <w:tcPr>
            <w:tcW w:w="80" w:type="dxa"/>
            <w:vAlign w:val="bottom"/>
          </w:tcPr>
          <w:p>
            <w:pPr>
              <w:spacing w:after="0"/>
              <w:rPr>
                <w:sz w:val="18"/>
                <w:szCs w:val="18"/>
                <w:color w:val="auto"/>
              </w:rPr>
            </w:pP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0"/>
          <w:szCs w:val="20"/>
          <w:color w:val="auto"/>
        </w:rPr>
      </w:pPr>
    </w:p>
    <w:p>
      <w:pPr>
        <w:ind w:left="560" w:hanging="552"/>
        <w:spacing w:after="0"/>
        <w:tabs>
          <w:tab w:leader="none" w:pos="5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Burn Rate is calculated as (shares subject to stock options granted + shares subject to full value awards granted)/weighted average common stock outstanding.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Overhang</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certain information regarding our use of equity awards as of the Record Date.</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960" w:type="dxa"/>
            <w:vAlign w:val="bottom"/>
          </w:tcPr>
          <w:p>
            <w:pPr>
              <w:spacing w:after="0"/>
              <w:rPr>
                <w:sz w:val="13"/>
                <w:szCs w:val="13"/>
                <w:color w:val="auto"/>
              </w:rPr>
            </w:pPr>
          </w:p>
        </w:tc>
        <w:tc>
          <w:tcPr>
            <w:tcW w:w="124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95"/>
        </w:trPr>
        <w:tc>
          <w:tcPr>
            <w:tcW w:w="99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Record Date</w:t>
            </w:r>
          </w:p>
        </w:tc>
      </w:tr>
      <w:tr>
        <w:trPr>
          <w:trHeight w:val="214"/>
        </w:trPr>
        <w:tc>
          <w:tcPr>
            <w:tcW w:w="9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number of shares of common stock subject to outstanding stock options</w:t>
            </w: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10,131,428</w:t>
            </w:r>
          </w:p>
        </w:tc>
      </w:tr>
      <w:tr>
        <w:trPr>
          <w:trHeight w:val="213"/>
        </w:trPr>
        <w:tc>
          <w:tcPr>
            <w:tcW w:w="9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Weighted-average exercise price of outstanding stock options</w:t>
            </w: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$94.12</w:t>
            </w:r>
          </w:p>
        </w:tc>
      </w:tr>
      <w:tr>
        <w:trPr>
          <w:trHeight w:val="219"/>
        </w:trPr>
        <w:tc>
          <w:tcPr>
            <w:tcW w:w="9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Weighted-average remaining term of outstanding stock options</w:t>
            </w: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6.81 years</w:t>
            </w:r>
          </w:p>
        </w:tc>
      </w:tr>
      <w:tr>
        <w:trPr>
          <w:trHeight w:val="213"/>
        </w:trPr>
        <w:tc>
          <w:tcPr>
            <w:tcW w:w="9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number of shares of common stock subject to outstanding full value awards</w:t>
            </w: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2,712,755</w:t>
            </w:r>
          </w:p>
        </w:tc>
      </w:tr>
      <w:tr>
        <w:trPr>
          <w:trHeight w:val="219"/>
        </w:trPr>
        <w:tc>
          <w:tcPr>
            <w:tcW w:w="9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number of shares of common stock available for grant under the 2020 Plan (1)</w:t>
            </w: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7,494,995</w:t>
            </w:r>
          </w:p>
        </w:tc>
      </w:tr>
      <w:tr>
        <w:trPr>
          <w:trHeight w:val="213"/>
        </w:trPr>
        <w:tc>
          <w:tcPr>
            <w:tcW w:w="9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number of shares of common stock available for grant under the Neurocrine Biosciences, Inc. Inducement Plan (1)</w:t>
            </w: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55,182</w:t>
            </w:r>
          </w:p>
        </w:tc>
      </w:tr>
      <w:tr>
        <w:trPr>
          <w:trHeight w:val="219"/>
        </w:trPr>
        <w:tc>
          <w:tcPr>
            <w:tcW w:w="9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number of shares of common stock subject to outstanding stock options and outstanding full value awards</w:t>
            </w: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12,844,183</w:t>
            </w:r>
          </w:p>
        </w:tc>
      </w:tr>
      <w:tr>
        <w:trPr>
          <w:trHeight w:val="213"/>
        </w:trPr>
        <w:tc>
          <w:tcPr>
            <w:tcW w:w="9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number of shares of common stock outstanding</w:t>
            </w: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100,580,497</w:t>
            </w:r>
          </w:p>
        </w:tc>
      </w:tr>
      <w:tr>
        <w:trPr>
          <w:trHeight w:val="219"/>
        </w:trPr>
        <w:tc>
          <w:tcPr>
            <w:tcW w:w="9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Per-share closing price of common stock as reported on Nasdaq Global Select Market</w:t>
            </w: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$140.25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9" w:lineRule="exact"/>
        <w:rPr>
          <w:sz w:val="20"/>
          <w:szCs w:val="20"/>
          <w:color w:val="auto"/>
        </w:rPr>
      </w:pPr>
    </w:p>
    <w:p>
      <w:pPr>
        <w:ind w:left="580" w:right="80" w:hanging="572"/>
        <w:spacing w:after="0" w:line="241" w:lineRule="auto"/>
        <w:tabs>
          <w:tab w:leader="none" w:pos="57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Record Date, there were no shares of common stock available for grant under any of our equity incentive plans, other than the 2020 Plan and the Neurocrine Biosciences, Inc. Inducement Plan.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Size of Our Share Reserve Increase Request Is Reasonable</w:t>
      </w:r>
    </w:p>
    <w:p>
      <w:pPr>
        <w:spacing w:after="0" w:line="202" w:lineRule="exact"/>
        <w:rPr>
          <w:sz w:val="20"/>
          <w:szCs w:val="20"/>
          <w:color w:val="auto"/>
        </w:rPr>
      </w:pPr>
    </w:p>
    <w:p>
      <w:pPr>
        <w:ind w:right="100" w:firstLine="551"/>
        <w:spacing w:after="0" w:line="226" w:lineRule="auto"/>
        <w:rPr>
          <w:sz w:val="20"/>
          <w:szCs w:val="20"/>
          <w:color w:val="auto"/>
        </w:rPr>
      </w:pPr>
      <w:r>
        <w:rPr>
          <w:rFonts w:ascii="Times New Roman" w:cs="Times New Roman" w:eastAsia="Times New Roman" w:hAnsi="Times New Roman"/>
          <w:sz w:val="18"/>
          <w:szCs w:val="18"/>
          <w:color w:val="auto"/>
        </w:rPr>
        <w:t>If this Proposal Three is approved by our stockholders, then subject to adjustment for certain changes in our capitalization, we will have 3,635,000 new shares available for grant after the Annual Meeting, and absent any unforeseen circumstances, we anticipate returning to stockholders for additional shares in 2025.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Amended 2020 Plan Combines Compensation and Governance Best Practices</w:t>
      </w:r>
    </w:p>
    <w:p>
      <w:pPr>
        <w:spacing w:after="0" w:line="202" w:lineRule="exact"/>
        <w:rPr>
          <w:sz w:val="20"/>
          <w:szCs w:val="20"/>
          <w:color w:val="auto"/>
        </w:rPr>
      </w:pPr>
    </w:p>
    <w:p>
      <w:pPr>
        <w:ind w:right="540" w:firstLine="551"/>
        <w:spacing w:after="0" w:line="237" w:lineRule="auto"/>
        <w:rPr>
          <w:sz w:val="20"/>
          <w:szCs w:val="20"/>
          <w:color w:val="auto"/>
        </w:rPr>
      </w:pPr>
      <w:r>
        <w:rPr>
          <w:rFonts w:ascii="Times New Roman" w:cs="Times New Roman" w:eastAsia="Times New Roman" w:hAnsi="Times New Roman"/>
          <w:sz w:val="18"/>
          <w:szCs w:val="18"/>
          <w:color w:val="auto"/>
        </w:rPr>
        <w:t>The Amended 2020 Plan includes provisions that are designed to protect our stockholders’ interests and to reflect corporate governance best practices, including:</w:t>
      </w:r>
    </w:p>
    <w:p>
      <w:pPr>
        <w:spacing w:after="0" w:line="48" w:lineRule="exact"/>
        <w:rPr>
          <w:sz w:val="20"/>
          <w:szCs w:val="20"/>
          <w:color w:val="auto"/>
        </w:rPr>
      </w:pPr>
    </w:p>
    <w:p>
      <w:pPr>
        <w:ind w:left="980" w:right="460" w:hanging="324"/>
        <w:spacing w:after="0" w:line="246"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approval is required for additional shares</w:t>
      </w:r>
      <w:r>
        <w:rPr>
          <w:rFonts w:ascii="Times New Roman" w:cs="Times New Roman" w:eastAsia="Times New Roman" w:hAnsi="Times New Roman"/>
          <w:sz w:val="18"/>
          <w:szCs w:val="18"/>
          <w:color w:val="auto"/>
        </w:rPr>
        <w:t>. The Amended 2020 Plan does not contain an annual “evergreen” provision.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2020 Plan authorizes a fixed number of shares, so that stockholder approval is required to issue any additional shares.</w:t>
      </w:r>
    </w:p>
    <w:p>
      <w:pPr>
        <w:spacing w:after="0" w:line="1" w:lineRule="exact"/>
        <w:rPr>
          <w:rFonts w:ascii="Times New Roman" w:cs="Times New Roman" w:eastAsia="Times New Roman" w:hAnsi="Times New Roman"/>
          <w:sz w:val="18"/>
          <w:szCs w:val="18"/>
          <w:color w:val="auto"/>
        </w:rPr>
      </w:pPr>
    </w:p>
    <w:p>
      <w:pPr>
        <w:ind w:left="980" w:right="280" w:hanging="324"/>
        <w:spacing w:after="0" w:line="229"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discounted stock options or stock appreciation rights</w:t>
      </w:r>
      <w:r>
        <w:rPr>
          <w:rFonts w:ascii="Times New Roman" w:cs="Times New Roman" w:eastAsia="Times New Roman" w:hAnsi="Times New Roman"/>
          <w:sz w:val="18"/>
          <w:szCs w:val="18"/>
          <w:color w:val="auto"/>
        </w:rPr>
        <w:t>. All stock options and stock appreciation rights granted under the Amended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must have an exercise price equal to or greater than the fair market value of our common stock on the date the stock option or stock appreciation right is granted.</w:t>
      </w:r>
    </w:p>
    <w:p>
      <w:pPr>
        <w:spacing w:after="0" w:line="1" w:lineRule="exact"/>
        <w:rPr>
          <w:rFonts w:ascii="Times New Roman" w:cs="Times New Roman" w:eastAsia="Times New Roman" w:hAnsi="Times New Roman"/>
          <w:sz w:val="18"/>
          <w:szCs w:val="18"/>
          <w:color w:val="auto"/>
        </w:rPr>
      </w:pPr>
    </w:p>
    <w:p>
      <w:pPr>
        <w:ind w:left="980" w:right="60" w:hanging="324"/>
        <w:spacing w:after="0" w:line="213"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 on non-employee director compensation</w:t>
      </w:r>
      <w:r>
        <w:rPr>
          <w:rFonts w:ascii="Times New Roman" w:cs="Times New Roman" w:eastAsia="Times New Roman" w:hAnsi="Times New Roman"/>
          <w:sz w:val="18"/>
          <w:szCs w:val="18"/>
          <w:color w:val="auto"/>
        </w:rPr>
        <w:t>. The aggregate value of all compensation granted or paid by us to any individual for service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non-employee director with respect to any period commencing on the date of the annual stockholders meeting for a particular year and ending on the date of the annual stockholders meeting for the next subsequent year (such period, the “annual period”), including awards granted under the Amended 2020 Plan and cash fees paid to such non-employee director, will not exceed $1,250,000 in total value. In addition, the aggregate value of any equity award(s) granted by us to any individual for service as a non-employee director upon or in connection with his or her initial election or appointment to the Board of Directors will not exceed $2,000,000 in total value (such that the aggregate compensation granted or paid by us to any individual for service as a non-employee director with respect to an annual period in which such individual is first appointed or elected to the Board of Directors will not exceed $3,250,000 in total value). For purposes of these limitations, the value of any equity awards is calculated based on the grant date fair value of such awards for financial reporting purposes.</w:t>
      </w:r>
    </w:p>
    <w:p>
      <w:pPr>
        <w:spacing w:after="0" w:line="13" w:lineRule="exact"/>
        <w:rPr>
          <w:rFonts w:ascii="Times New Roman" w:cs="Times New Roman" w:eastAsia="Times New Roman" w:hAnsi="Times New Roman"/>
          <w:sz w:val="18"/>
          <w:szCs w:val="18"/>
          <w:color w:val="auto"/>
        </w:rPr>
      </w:pPr>
    </w:p>
    <w:p>
      <w:pPr>
        <w:ind w:left="980" w:right="60" w:hanging="324"/>
        <w:spacing w:after="0" w:line="225"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Awards subject to forfeiture/clawback</w:t>
      </w:r>
      <w:r>
        <w:rPr>
          <w:rFonts w:ascii="Times New Roman" w:cs="Times New Roman" w:eastAsia="Times New Roman" w:hAnsi="Times New Roman"/>
          <w:sz w:val="18"/>
          <w:szCs w:val="18"/>
          <w:color w:val="auto"/>
        </w:rPr>
        <w:t>. Awards granted under the Amended 2020 Plan will be subject to recoupment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Neurocrine Biosciences, Inc. Incentive Compensation Recoupment Policy and any other clawback policy that the Company adopts. In addition, the Board may impose other clawback, recovery or recoupment provisions in an award agreement, including a reacquisition right in respect of previously acquired shares or other cash or property upon the occurrence of cause.</w:t>
      </w:r>
    </w:p>
    <w:p>
      <w:pPr>
        <w:ind w:left="980" w:right="560" w:hanging="324"/>
        <w:spacing w:after="0" w:line="234"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 on dividends</w:t>
      </w:r>
      <w:r>
        <w:rPr>
          <w:rFonts w:ascii="Times New Roman" w:cs="Times New Roman" w:eastAsia="Times New Roman" w:hAnsi="Times New Roman"/>
          <w:sz w:val="18"/>
          <w:szCs w:val="18"/>
          <w:color w:val="auto"/>
        </w:rPr>
        <w:t>. The Amended 2020 Plan provides that dividends or dividend equivalents may not be paid or credited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granted under the Amended 2020 Plan.</w:t>
      </w:r>
    </w:p>
    <w:p>
      <w:pPr>
        <w:spacing w:after="0" w:line="8" w:lineRule="exact"/>
        <w:rPr>
          <w:rFonts w:ascii="Times New Roman" w:cs="Times New Roman" w:eastAsia="Times New Roman" w:hAnsi="Times New Roman"/>
          <w:sz w:val="18"/>
          <w:szCs w:val="18"/>
          <w:color w:val="auto"/>
        </w:rPr>
      </w:pPr>
    </w:p>
    <w:p>
      <w:pPr>
        <w:ind w:left="980" w:right="140" w:hanging="324"/>
        <w:spacing w:after="0" w:line="238"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liberal change in control definition</w:t>
      </w:r>
      <w:r>
        <w:rPr>
          <w:rFonts w:ascii="Times New Roman" w:cs="Times New Roman" w:eastAsia="Times New Roman" w:hAnsi="Times New Roman"/>
          <w:sz w:val="18"/>
          <w:szCs w:val="18"/>
          <w:color w:val="auto"/>
        </w:rPr>
        <w:t>. The change in control definition in the Amended 2020 Plan is not a “liberal” definition. A change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transaction must actually occur in order for the change in control provisions in the Amended 2020 Plan to be triggered.</w:t>
      </w:r>
    </w:p>
    <w:p>
      <w:pPr>
        <w:spacing w:after="0" w:line="1" w:lineRule="exact"/>
        <w:rPr>
          <w:rFonts w:ascii="Times New Roman" w:cs="Times New Roman" w:eastAsia="Times New Roman" w:hAnsi="Times New Roman"/>
          <w:sz w:val="18"/>
          <w:szCs w:val="18"/>
          <w:color w:val="auto"/>
        </w:rPr>
      </w:pPr>
    </w:p>
    <w:p>
      <w:pPr>
        <w:ind w:left="980" w:hanging="324"/>
        <w:spacing w:after="0" w:line="23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liberal share counting provisions</w:t>
      </w:r>
      <w:r>
        <w:rPr>
          <w:rFonts w:ascii="Times New Roman" w:cs="Times New Roman" w:eastAsia="Times New Roman" w:hAnsi="Times New Roman"/>
          <w:sz w:val="18"/>
          <w:szCs w:val="18"/>
          <w:color w:val="auto"/>
        </w:rPr>
        <w:t>. The following shares will not become available again for issuance under the Amended 2020 Plan:</w:t>
      </w:r>
    </w:p>
    <w:p>
      <w:pPr>
        <w:ind w:left="980" w:right="20"/>
        <w:spacing w:after="0" w:line="21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shares that are reacquired or withheld (or not issued) by us to satisfy the exercise or purchase price of an award; (ii) any shares that are reacquired or withheld (or not issued) by us to satisfy a tax withholding obligation in connection with an award; (iii) any shares repurchased by us on the open market with the proceeds of the exercise or purchase price of an award; and (iv) in the event that a stock appreciation right is settled in shares, the gross number of shares subject to such award.</w:t>
      </w:r>
    </w:p>
    <w:p>
      <w:pPr>
        <w:spacing w:after="0" w:line="2" w:lineRule="exact"/>
        <w:rPr>
          <w:rFonts w:ascii="Times New Roman" w:cs="Times New Roman" w:eastAsia="Times New Roman" w:hAnsi="Times New Roman"/>
          <w:sz w:val="18"/>
          <w:szCs w:val="18"/>
          <w:color w:val="auto"/>
        </w:rPr>
      </w:pPr>
    </w:p>
    <w:p>
      <w:pPr>
        <w:ind w:left="980" w:right="120" w:hanging="324"/>
        <w:spacing w:after="0" w:line="229"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Material amendments require stockholder approval</w:t>
      </w:r>
      <w:r>
        <w:rPr>
          <w:rFonts w:ascii="Times New Roman" w:cs="Times New Roman" w:eastAsia="Times New Roman" w:hAnsi="Times New Roman"/>
          <w:sz w:val="18"/>
          <w:szCs w:val="18"/>
          <w:color w:val="auto"/>
        </w:rPr>
        <w:t>. Consistent with Nasdaq rules, the Amended 2020 Plan requires stockholder approval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material revisions to the Amended 2020 Plan. In addition, certain other amendments to the Amended 2020 Plan require stockholder approval.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02" w:lineRule="exact"/>
        <w:rPr>
          <w:sz w:val="20"/>
          <w:szCs w:val="20"/>
          <w:color w:val="auto"/>
        </w:rPr>
      </w:pPr>
    </w:p>
    <w:p>
      <w:pPr>
        <w:jc w:val="both"/>
        <w:ind w:right="60" w:firstLine="551"/>
        <w:spacing w:after="0" w:line="229" w:lineRule="auto"/>
        <w:rPr>
          <w:sz w:val="20"/>
          <w:szCs w:val="20"/>
          <w:color w:val="auto"/>
        </w:rPr>
      </w:pPr>
      <w:r>
        <w:rPr>
          <w:rFonts w:ascii="Times New Roman" w:cs="Times New Roman" w:eastAsia="Times New Roman" w:hAnsi="Times New Roman"/>
          <w:sz w:val="17"/>
          <w:szCs w:val="17"/>
          <w:color w:val="auto"/>
        </w:rPr>
        <w:t xml:space="preserve">At the Annual Meeting, the stockholders are being asked to approve an amendment of the Company’s 2020 Equity Incentive Plan. The affirmative vote of the holders of a majority of the shares represented in person or by proxy at the Annual Meeting and entitled to vote on the item will be required to approve the amendment of the Company’s 2020 Equity Incentive Plan. </w:t>
      </w:r>
      <w:r>
        <w:rPr>
          <w:rFonts w:ascii="Times New Roman" w:cs="Times New Roman" w:eastAsia="Times New Roman" w:hAnsi="Times New Roman"/>
          <w:sz w:val="17"/>
          <w:szCs w:val="17"/>
          <w:b w:val="1"/>
          <w:bCs w:val="1"/>
          <w:color w:val="auto"/>
        </w:rPr>
        <w:t>The Board of Directors unanimously recommends voting “FOR” the approval</w:t>
      </w:r>
    </w:p>
    <w:p>
      <w:pPr>
        <w:spacing w:after="0"/>
        <w:rPr>
          <w:sz w:val="20"/>
          <w:szCs w:val="20"/>
          <w:color w:val="auto"/>
        </w:rPr>
      </w:pPr>
      <w:r>
        <w:rPr>
          <w:rFonts w:ascii="Times New Roman" w:cs="Times New Roman" w:eastAsia="Times New Roman" w:hAnsi="Times New Roman"/>
          <w:sz w:val="18"/>
          <w:szCs w:val="18"/>
          <w:b w:val="1"/>
          <w:bCs w:val="1"/>
          <w:color w:val="auto"/>
        </w:rPr>
        <w:t>of an amendment of the Company’s 2020 Equity Incentive Plan.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Amended 2020 Plan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material features of the Amended 2020 Plan are described below. The following description of the Amended 2020 Plan is a summary only and</w:t>
      </w:r>
    </w:p>
    <w:p>
      <w:pPr>
        <w:spacing w:after="0" w:line="2" w:lineRule="exact"/>
        <w:rPr>
          <w:sz w:val="20"/>
          <w:szCs w:val="20"/>
          <w:color w:val="auto"/>
        </w:rPr>
      </w:pPr>
    </w:p>
    <w:p>
      <w:pPr>
        <w:jc w:val="both"/>
        <w:ind w:right="60"/>
        <w:spacing w:after="0" w:line="226" w:lineRule="auto"/>
        <w:rPr>
          <w:sz w:val="20"/>
          <w:szCs w:val="20"/>
          <w:color w:val="auto"/>
        </w:rPr>
      </w:pPr>
      <w:r>
        <w:rPr>
          <w:rFonts w:ascii="Times New Roman" w:cs="Times New Roman" w:eastAsia="Times New Roman" w:hAnsi="Times New Roman"/>
          <w:sz w:val="18"/>
          <w:szCs w:val="18"/>
          <w:color w:val="auto"/>
        </w:rPr>
        <w:t>is qualified in its entirety by reference to the complete text of the Amended 2020 Plan. Stockholders are urged to read the actual text of the Amended 2020 Plan in its entirety, which is attached hereto as Appendix 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Purpose</w:t>
      </w:r>
    </w:p>
    <w:p>
      <w:pPr>
        <w:spacing w:after="0" w:line="202" w:lineRule="exact"/>
        <w:rPr>
          <w:sz w:val="20"/>
          <w:szCs w:val="20"/>
          <w:color w:val="auto"/>
        </w:rPr>
      </w:pPr>
    </w:p>
    <w:p>
      <w:pPr>
        <w:ind w:firstLine="551"/>
        <w:spacing w:after="0" w:line="229" w:lineRule="auto"/>
        <w:rPr>
          <w:sz w:val="20"/>
          <w:szCs w:val="20"/>
          <w:color w:val="auto"/>
        </w:rPr>
      </w:pPr>
      <w:r>
        <w:rPr>
          <w:rFonts w:ascii="Times New Roman" w:cs="Times New Roman" w:eastAsia="Times New Roman" w:hAnsi="Times New Roman"/>
          <w:sz w:val="17"/>
          <w:szCs w:val="17"/>
          <w:color w:val="auto"/>
        </w:rPr>
        <w:t>The Amended 2020 Plan is designed to secure and retain the services of our employees, non-employee directors and consultants, to provide incentives for such persons to exert maximum efforts for the success of the Company and our affiliates, and to provide a means by which such persons may be given an opportunity to benefit from increases in the value of our common stock. The Amended 2020 Plan is also designed to align employees’ interests</w:t>
      </w:r>
    </w:p>
    <w:p>
      <w:pPr>
        <w:spacing w:after="0"/>
        <w:rPr>
          <w:sz w:val="20"/>
          <w:szCs w:val="20"/>
          <w:color w:val="auto"/>
        </w:rPr>
      </w:pPr>
      <w:r>
        <w:rPr>
          <w:rFonts w:ascii="Times New Roman" w:cs="Times New Roman" w:eastAsia="Times New Roman" w:hAnsi="Times New Roman"/>
          <w:sz w:val="18"/>
          <w:szCs w:val="18"/>
          <w:color w:val="auto"/>
        </w:rPr>
        <w:t>with stockholder interests.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Types of Awards</w:t>
      </w:r>
    </w:p>
    <w:p>
      <w:pPr>
        <w:spacing w:after="0" w:line="202" w:lineRule="exact"/>
        <w:rPr>
          <w:sz w:val="20"/>
          <w:szCs w:val="20"/>
          <w:color w:val="auto"/>
        </w:rPr>
      </w:pPr>
    </w:p>
    <w:p>
      <w:pPr>
        <w:ind w:right="640" w:firstLine="551"/>
        <w:spacing w:after="0" w:line="237" w:lineRule="auto"/>
        <w:rPr>
          <w:sz w:val="20"/>
          <w:szCs w:val="20"/>
          <w:color w:val="auto"/>
        </w:rPr>
      </w:pPr>
      <w:r>
        <w:rPr>
          <w:rFonts w:ascii="Times New Roman" w:cs="Times New Roman" w:eastAsia="Times New Roman" w:hAnsi="Times New Roman"/>
          <w:sz w:val="18"/>
          <w:szCs w:val="18"/>
          <w:color w:val="auto"/>
        </w:rPr>
        <w:t>The terms of the Amended 2020 Plan provide for the grant of incentive stock options, nonstatutory stock options, stock appreciation rights, restricted stock awards, restricted stock unit awards, performance awards, and other awards.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for Awards</w:t>
      </w:r>
    </w:p>
    <w:p>
      <w:pPr>
        <w:spacing w:after="0" w:line="202" w:lineRule="exact"/>
        <w:rPr>
          <w:sz w:val="20"/>
          <w:szCs w:val="20"/>
          <w:color w:val="auto"/>
        </w:rPr>
      </w:pPr>
    </w:p>
    <w:p>
      <w:pPr>
        <w:ind w:right="180" w:firstLine="551"/>
        <w:spacing w:after="0" w:line="216" w:lineRule="auto"/>
        <w:rPr>
          <w:sz w:val="20"/>
          <w:szCs w:val="20"/>
          <w:color w:val="auto"/>
        </w:rPr>
      </w:pPr>
      <w:r>
        <w:rPr>
          <w:rFonts w:ascii="Times New Roman" w:cs="Times New Roman" w:eastAsia="Times New Roman" w:hAnsi="Times New Roman"/>
          <w:sz w:val="18"/>
          <w:szCs w:val="18"/>
          <w:color w:val="auto"/>
        </w:rPr>
        <w:t>Subject to adjustment for certain changes in our capitalization, the aggregate number of shares of our common stock that may be issued under the Amended 2020 Plan will not exceed the sum of: (i) the number of shares that remained available for the grant of new awards under the Neurocrine Biosciences, Inc. 2011 Equity Incentive Plan (the “2011 Plan”) as of immediately following the effective date of the 2020 Plan; (ii) 3,300,000 shares that</w:t>
      </w:r>
    </w:p>
    <w:p>
      <w:pPr>
        <w:spacing w:after="0" w:line="1"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were approved at our 2020 annual meeting of stockholders; (iii) an additional 5,900,000 shares that were approved at our 2022 annual meeting of stockholders; (iv) an additional 6,600,000 shares that were approved at our 2023 annual meeting of stockholders; (v) an additional 3,635,000 shares that are subject to approval by our stockholders under this Proposal Three; and (vi) the Prior Plan’s Returning Shares (as defined below), as such shares become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from time to time.</w:t>
      </w:r>
    </w:p>
    <w:p>
      <w:pPr>
        <w:spacing w:after="0" w:line="165" w:lineRule="exact"/>
        <w:rPr>
          <w:sz w:val="20"/>
          <w:szCs w:val="20"/>
          <w:color w:val="auto"/>
        </w:rPr>
      </w:pPr>
    </w:p>
    <w:p>
      <w:pPr>
        <w:ind w:right="120" w:firstLine="551"/>
        <w:spacing w:after="0" w:line="236" w:lineRule="auto"/>
        <w:rPr>
          <w:sz w:val="20"/>
          <w:szCs w:val="20"/>
          <w:color w:val="auto"/>
        </w:rPr>
      </w:pPr>
      <w:r>
        <w:rPr>
          <w:rFonts w:ascii="Times New Roman" w:cs="Times New Roman" w:eastAsia="Times New Roman" w:hAnsi="Times New Roman"/>
          <w:sz w:val="17"/>
          <w:szCs w:val="17"/>
          <w:color w:val="auto"/>
        </w:rPr>
        <w:t>The “Prior Plan’s Returning Shares” are shares of our common stock subject to outstanding awards granted under the 2011 Plan (referred to as the “Prior Plan” in this Proposal Three) that following the effective date of the 2020 Plan: (i) are not issued because such award or any portion thereof expires</w:t>
      </w:r>
    </w:p>
    <w:p>
      <w:pPr>
        <w:ind w:right="20"/>
        <w:spacing w:after="0" w:line="218" w:lineRule="auto"/>
        <w:rPr>
          <w:sz w:val="20"/>
          <w:szCs w:val="20"/>
          <w:color w:val="auto"/>
        </w:rPr>
      </w:pPr>
      <w:r>
        <w:rPr>
          <w:rFonts w:ascii="Times New Roman" w:cs="Times New Roman" w:eastAsia="Times New Roman" w:hAnsi="Times New Roman"/>
          <w:sz w:val="18"/>
          <w:szCs w:val="18"/>
          <w:color w:val="auto"/>
        </w:rPr>
        <w:t>or otherwise terminates without all of the shares covered by such award having been issued; (ii) are not issued because such award or any portion thereof is settled in cash; or (iii) are forfeited back to or repurchased by us because of the failure to meet a contingency or condition required for the vesting of such shares.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actions will not result in an issuance of shares of our common stock under the Amended 2020 Plan and accordingly will not reduce</w:t>
      </w:r>
    </w:p>
    <w:p>
      <w:pPr>
        <w:spacing w:after="0" w:line="2" w:lineRule="exact"/>
        <w:rPr>
          <w:sz w:val="20"/>
          <w:szCs w:val="20"/>
          <w:color w:val="auto"/>
        </w:rPr>
      </w:pPr>
    </w:p>
    <w:p>
      <w:pPr>
        <w:jc w:val="both"/>
        <w:ind w:right="400"/>
        <w:spacing w:after="0" w:line="218" w:lineRule="auto"/>
        <w:rPr>
          <w:sz w:val="20"/>
          <w:szCs w:val="20"/>
          <w:color w:val="auto"/>
        </w:rPr>
      </w:pPr>
      <w:r>
        <w:rPr>
          <w:rFonts w:ascii="Times New Roman" w:cs="Times New Roman" w:eastAsia="Times New Roman" w:hAnsi="Times New Roman"/>
          <w:sz w:val="18"/>
          <w:szCs w:val="18"/>
          <w:color w:val="auto"/>
        </w:rPr>
        <w:t>the number of shares of our common stock available for issuance under the Amended 2020 Plan: (i) the expiration or termination of any portion of an award granted under the Amended 2020 Plan without the shares covered by such portion of the award having been issued; or (ii) the settlement of any portion of an award granted under the Amended 2020 Plan in cash.</w:t>
      </w:r>
    </w:p>
    <w:p>
      <w:pPr>
        <w:spacing w:after="0" w:line="172" w:lineRule="exact"/>
        <w:rPr>
          <w:sz w:val="20"/>
          <w:szCs w:val="20"/>
          <w:color w:val="auto"/>
        </w:rPr>
      </w:pPr>
    </w:p>
    <w:p>
      <w:pPr>
        <w:ind w:right="100" w:firstLine="551"/>
        <w:spacing w:after="0" w:line="226" w:lineRule="auto"/>
        <w:rPr>
          <w:sz w:val="20"/>
          <w:szCs w:val="20"/>
          <w:color w:val="auto"/>
        </w:rPr>
      </w:pPr>
      <w:r>
        <w:rPr>
          <w:rFonts w:ascii="Times New Roman" w:cs="Times New Roman" w:eastAsia="Times New Roman" w:hAnsi="Times New Roman"/>
          <w:sz w:val="18"/>
          <w:szCs w:val="18"/>
          <w:color w:val="auto"/>
        </w:rPr>
        <w:t>If any shares of our common stock issued pursuant to an award granted under the Amended 2020 Plan are forfeited back to or repurchased by us because of the failure to meet a contingency or condition required for the vesting of such shares, then such shares will become available again for issuance under the Amended 2020 Plan (such shares, the “Amended 2020 Plan Returning Shares”).</w:t>
      </w:r>
    </w:p>
    <w:p>
      <w:pPr>
        <w:spacing w:after="0" w:line="171" w:lineRule="exact"/>
        <w:rPr>
          <w:sz w:val="20"/>
          <w:szCs w:val="20"/>
          <w:color w:val="auto"/>
        </w:rPr>
      </w:pPr>
    </w:p>
    <w:p>
      <w:pPr>
        <w:ind w:right="20" w:firstLine="551"/>
        <w:spacing w:after="0" w:line="216" w:lineRule="auto"/>
        <w:rPr>
          <w:sz w:val="20"/>
          <w:szCs w:val="20"/>
          <w:color w:val="auto"/>
        </w:rPr>
      </w:pPr>
      <w:r>
        <w:rPr>
          <w:rFonts w:ascii="Times New Roman" w:cs="Times New Roman" w:eastAsia="Times New Roman" w:hAnsi="Times New Roman"/>
          <w:sz w:val="18"/>
          <w:szCs w:val="18"/>
          <w:color w:val="auto"/>
        </w:rPr>
        <w:t>The following shares of our common stock will not become available again for issuance under the Amended 2020 Plan: (i) any shares that are reacquired or withheld (or not issued) by us to satisfy the exercise or purchase price of an award granted under the Amended 2020 Plan or the Prior Plan (including any shares subject to such award that are not delivered because such award is exercised through a reduction of shares subject to such award); (ii)</w:t>
      </w:r>
    </w:p>
    <w:p>
      <w:pPr>
        <w:spacing w:after="0" w:line="1"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any shares that are reacquired or withheld (or not issued) by us to satisfy a tax withholding obligation in connection with an award granted under the Amended 2020 Plan or the Prior Plan; (iii) any shares repurchased by us on the open market with the proceeds of the exercise or purchase price of an award granted under the Amended 2020 Plan or the Prior Plan; and (iv) in the event that a stock appreciation right granted under the Amended 2020 Plan or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Plan is settled in shares, the gross number of shares subject to such award.</w:t>
      </w:r>
    </w:p>
    <w:p>
      <w:pPr>
        <w:spacing w:after="0" w:line="165" w:lineRule="exact"/>
        <w:rPr>
          <w:sz w:val="20"/>
          <w:szCs w:val="20"/>
          <w:color w:val="auto"/>
        </w:rPr>
      </w:pPr>
    </w:p>
    <w:p>
      <w:pPr>
        <w:ind w:right="240" w:firstLine="551"/>
        <w:spacing w:after="0" w:line="222" w:lineRule="auto"/>
        <w:rPr>
          <w:sz w:val="20"/>
          <w:szCs w:val="20"/>
          <w:color w:val="auto"/>
        </w:rPr>
      </w:pPr>
      <w:r>
        <w:rPr>
          <w:rFonts w:ascii="Times New Roman" w:cs="Times New Roman" w:eastAsia="Times New Roman" w:hAnsi="Times New Roman"/>
          <w:sz w:val="18"/>
          <w:szCs w:val="18"/>
          <w:color w:val="auto"/>
        </w:rPr>
        <w:t>The number of shares of our common stock available for issuance under the Amended 2020 Plan will be reduced by: (i) one share for each share issued pursuant to an appreciation award granted under the Amended 2020 Plan; and (ii) 2.13 shares for each share issued pursuant to a full value award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under the Amended 2020 Plan on or after May 18, 2022.</w:t>
      </w:r>
    </w:p>
    <w:p>
      <w:pPr>
        <w:spacing w:after="0" w:line="165" w:lineRule="exact"/>
        <w:rPr>
          <w:sz w:val="20"/>
          <w:szCs w:val="20"/>
          <w:color w:val="auto"/>
        </w:rPr>
      </w:pPr>
    </w:p>
    <w:p>
      <w:pPr>
        <w:ind w:right="40" w:firstLine="551"/>
        <w:spacing w:after="0" w:line="236" w:lineRule="auto"/>
        <w:rPr>
          <w:sz w:val="20"/>
          <w:szCs w:val="20"/>
          <w:color w:val="auto"/>
        </w:rPr>
      </w:pPr>
      <w:r>
        <w:rPr>
          <w:rFonts w:ascii="Times New Roman" w:cs="Times New Roman" w:eastAsia="Times New Roman" w:hAnsi="Times New Roman"/>
          <w:sz w:val="17"/>
          <w:szCs w:val="17"/>
          <w:color w:val="auto"/>
        </w:rPr>
        <w:t>The number of shares of our common stock available for issuance under the Amended 2020 Plan will be increased by: (i) one share for each Prior Plan’s Returning Share or Amended 2020 Plan Returning Share subject to an appreciation award; and (ii) 2.13 shares for each Prior Plan’s Returning Share</w:t>
      </w:r>
    </w:p>
    <w:p>
      <w:pPr>
        <w:spacing w:after="0"/>
        <w:rPr>
          <w:sz w:val="20"/>
          <w:szCs w:val="20"/>
          <w:color w:val="auto"/>
        </w:rPr>
      </w:pPr>
      <w:r>
        <w:rPr>
          <w:rFonts w:ascii="Times New Roman" w:cs="Times New Roman" w:eastAsia="Times New Roman" w:hAnsi="Times New Roman"/>
          <w:sz w:val="18"/>
          <w:szCs w:val="18"/>
          <w:color w:val="auto"/>
        </w:rPr>
        <w:t>or Amended 2020 Plan Returning Share subject to a full value award that returns to the Amended 2020 Plan on or after May 18, 2022.</w:t>
      </w:r>
    </w:p>
    <w:p>
      <w:pPr>
        <w:spacing w:after="0" w:line="192" w:lineRule="exact"/>
        <w:rPr>
          <w:sz w:val="20"/>
          <w:szCs w:val="20"/>
          <w:color w:val="auto"/>
        </w:rPr>
      </w:pPr>
    </w:p>
    <w:p>
      <w:pPr>
        <w:ind w:right="40" w:firstLine="648"/>
        <w:spacing w:after="0" w:line="222" w:lineRule="auto"/>
        <w:rPr>
          <w:sz w:val="20"/>
          <w:szCs w:val="20"/>
          <w:color w:val="auto"/>
        </w:rPr>
      </w:pPr>
      <w:r>
        <w:rPr>
          <w:rFonts w:ascii="Times New Roman" w:cs="Times New Roman" w:eastAsia="Times New Roman" w:hAnsi="Times New Roman"/>
          <w:sz w:val="18"/>
          <w:szCs w:val="18"/>
          <w:color w:val="auto"/>
        </w:rPr>
        <w:t>For purposes of this Proposal Three, (i) an “appreciation award” is a stock option or a stock appreciation right with respect to which the exercise or strike price is at least 100% of the fair market value of our common stock on the date of grant and (ii) a “full value award” is a stock award that is not an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appreciation award.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terms of the Amended 2020 Plan, all of our (including our affiliates’) employees, non-employee directors and consultants are eligible to</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participate in the Amended 2020 Plan and may receive all types of awards other than incentive stock options. Incentive stock options may be granted under the Amended 2020 Plan only to our (including our affiliates’) employees. Generally, we do not provide equity grants to consultants.</w:t>
      </w:r>
    </w:p>
    <w:p>
      <w:pPr>
        <w:spacing w:after="0" w:line="157" w:lineRule="exact"/>
        <w:rPr>
          <w:sz w:val="20"/>
          <w:szCs w:val="20"/>
          <w:color w:val="auto"/>
        </w:rPr>
      </w:pPr>
    </w:p>
    <w:p>
      <w:pPr>
        <w:ind w:right="500" w:firstLine="551"/>
        <w:spacing w:after="0" w:line="250" w:lineRule="auto"/>
        <w:rPr>
          <w:sz w:val="20"/>
          <w:szCs w:val="20"/>
          <w:color w:val="auto"/>
        </w:rPr>
      </w:pPr>
      <w:r>
        <w:rPr>
          <w:rFonts w:ascii="Times New Roman" w:cs="Times New Roman" w:eastAsia="Times New Roman" w:hAnsi="Times New Roman"/>
          <w:sz w:val="18"/>
          <w:szCs w:val="18"/>
          <w:color w:val="auto"/>
        </w:rPr>
        <w:t>As of the Record Date, we (including our affiliates) had approximately 1,400 employees, nine non-employee directors, and approximately 24 consultants.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202" w:lineRule="exact"/>
        <w:rPr>
          <w:sz w:val="20"/>
          <w:szCs w:val="20"/>
          <w:color w:val="auto"/>
        </w:rPr>
      </w:pPr>
    </w:p>
    <w:p>
      <w:pPr>
        <w:ind w:right="40" w:firstLine="551"/>
        <w:spacing w:after="0" w:line="229" w:lineRule="auto"/>
        <w:rPr>
          <w:sz w:val="20"/>
          <w:szCs w:val="20"/>
          <w:color w:val="auto"/>
        </w:rPr>
      </w:pPr>
      <w:r>
        <w:rPr>
          <w:rFonts w:ascii="Times New Roman" w:cs="Times New Roman" w:eastAsia="Times New Roman" w:hAnsi="Times New Roman"/>
          <w:sz w:val="17"/>
          <w:szCs w:val="17"/>
          <w:color w:val="auto"/>
        </w:rPr>
        <w:t>The Amended 2020 Plan will be administered by our Board of Directors, which may in turn delegate some or all of the administration of the Amended 2020 Plan to a committee or committees composed of members of the Board of Directors. Our Board of Directors has delegated concurrent authority to administer the Amended 2020 Plan to our Compensation Committee, but may, at any time, revest in itself some or all of the power delegated to</w:t>
      </w:r>
    </w:p>
    <w:p>
      <w:pPr>
        <w:ind w:right="220"/>
        <w:spacing w:after="0" w:line="226" w:lineRule="auto"/>
        <w:rPr>
          <w:sz w:val="20"/>
          <w:szCs w:val="20"/>
          <w:color w:val="auto"/>
        </w:rPr>
      </w:pPr>
      <w:r>
        <w:rPr>
          <w:rFonts w:ascii="Times New Roman" w:cs="Times New Roman" w:eastAsia="Times New Roman" w:hAnsi="Times New Roman"/>
          <w:sz w:val="18"/>
          <w:szCs w:val="18"/>
          <w:color w:val="auto"/>
        </w:rPr>
        <w:t>our Compensation Committee. Our Board of Directors and Compensation Committee are each considered to be a Plan Administrator for purposes of this Proposal Three.</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 to the terms of the Amended 2020 Plan, the Plan Administrator may determine the recipients, the types of awards to be granted, the number</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of shares of our common stock subject to or the cash value of awards, and the terms and conditions of awards granted under the Amended 2020 Plan, including the period of their exercisability and vesting. The Plan Administrator also has the authority to provide for accelerated exercisability and vesting of awards. Subject to the limitations set forth below, the Plan Administrator also determines the fair market value applicable to an award and the exercise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strike price of stock options and stock appreciation rights granted under the Amended 2020 Plan.</w:t>
      </w:r>
    </w:p>
    <w:p>
      <w:pPr>
        <w:spacing w:after="0" w:line="165" w:lineRule="exact"/>
        <w:rPr>
          <w:sz w:val="20"/>
          <w:szCs w:val="20"/>
          <w:color w:val="auto"/>
        </w:rPr>
      </w:pPr>
    </w:p>
    <w:p>
      <w:pPr>
        <w:ind w:right="140" w:firstLine="551"/>
        <w:spacing w:after="0" w:line="236" w:lineRule="auto"/>
        <w:rPr>
          <w:sz w:val="20"/>
          <w:szCs w:val="20"/>
          <w:color w:val="auto"/>
        </w:rPr>
      </w:pPr>
      <w:r>
        <w:rPr>
          <w:rFonts w:ascii="Times New Roman" w:cs="Times New Roman" w:eastAsia="Times New Roman" w:hAnsi="Times New Roman"/>
          <w:sz w:val="17"/>
          <w:szCs w:val="17"/>
          <w:color w:val="auto"/>
        </w:rPr>
        <w:t>The Plan Administrator may also delegate to one or more executive officers the authority to designate employees who are not executive officers to be recipients of certain awards and the number of shares of our common stock subject to such awards. Under any such delegation, the Plan Administrator</w:t>
      </w:r>
    </w:p>
    <w:p>
      <w:pPr>
        <w:ind w:right="40"/>
        <w:spacing w:after="0" w:line="226" w:lineRule="auto"/>
        <w:rPr>
          <w:sz w:val="20"/>
          <w:szCs w:val="20"/>
          <w:color w:val="auto"/>
        </w:rPr>
      </w:pPr>
      <w:r>
        <w:rPr>
          <w:rFonts w:ascii="Times New Roman" w:cs="Times New Roman" w:eastAsia="Times New Roman" w:hAnsi="Times New Roman"/>
          <w:sz w:val="18"/>
          <w:szCs w:val="18"/>
          <w:color w:val="auto"/>
        </w:rPr>
        <w:t>will specify the total number of shares of our common stock that may be subject to the awards granted by such executive officer. The executive officer may not grant an award to himself or herself.</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Repricing; Cancellation and Re-Grant of Stock Options or Stock Appreciation Rights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Amended 2020 Plan, except in connection with a corporate transaction or a change in control or an adjustment for certain changes in our</w:t>
      </w:r>
    </w:p>
    <w:p>
      <w:pPr>
        <w:spacing w:after="0" w:line="2"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capitalization, or unless our stockholders have approved such an action within 12 months prior to such an event, the Plan Administrator does not have the authority to reprice any outstanding stock option or stock appreciation right by (1) reducing the exercise or strike price of the stock option or stock appreciation right or (2) canceling any outstanding stock option or stock appreciation right that has an exercise or strike price greater than the then-current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market value of our common stock in exchange for cash or other awards.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Dividend Equivalents</w:t>
      </w:r>
    </w:p>
    <w:p>
      <w:pPr>
        <w:spacing w:after="0" w:line="189" w:lineRule="exact"/>
        <w:rPr>
          <w:sz w:val="20"/>
          <w:szCs w:val="20"/>
          <w:color w:val="auto"/>
        </w:rPr>
      </w:pPr>
    </w:p>
    <w:p>
      <w:pPr>
        <w:ind w:right="320" w:firstLine="551"/>
        <w:spacing w:after="0" w:line="250" w:lineRule="auto"/>
        <w:rPr>
          <w:sz w:val="20"/>
          <w:szCs w:val="20"/>
          <w:color w:val="auto"/>
        </w:rPr>
      </w:pPr>
      <w:r>
        <w:rPr>
          <w:rFonts w:ascii="Times New Roman" w:cs="Times New Roman" w:eastAsia="Times New Roman" w:hAnsi="Times New Roman"/>
          <w:sz w:val="18"/>
          <w:szCs w:val="18"/>
          <w:color w:val="auto"/>
        </w:rPr>
        <w:t>The Amended 2020 Plan provides that dividends or dividend equivalents may not be paid or credited to any awards granted under the Amended 2020 Plan.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 on Non-Employee Director Compensation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aggregate value of all compensation granted or paid by us to any individual for service as a non-employee director with respect to any period</w:t>
      </w:r>
    </w:p>
    <w:p>
      <w:pPr>
        <w:spacing w:after="0" w:line="2" w:lineRule="exact"/>
        <w:rPr>
          <w:sz w:val="20"/>
          <w:szCs w:val="20"/>
          <w:color w:val="auto"/>
        </w:rPr>
      </w:pPr>
    </w:p>
    <w:p>
      <w:pPr>
        <w:ind w:right="220"/>
        <w:spacing w:after="0" w:line="220" w:lineRule="auto"/>
        <w:rPr>
          <w:sz w:val="20"/>
          <w:szCs w:val="20"/>
          <w:color w:val="auto"/>
        </w:rPr>
      </w:pPr>
      <w:r>
        <w:rPr>
          <w:rFonts w:ascii="Times New Roman" w:cs="Times New Roman" w:eastAsia="Times New Roman" w:hAnsi="Times New Roman"/>
          <w:sz w:val="17"/>
          <w:szCs w:val="17"/>
          <w:color w:val="auto"/>
        </w:rPr>
        <w:t>commencing on the date of the annual stockholders meeting for a particular year and ending on the date of the annual stockholders meeting for the next subsequent year (such period, the “annual period”), including awards granted under the Amended 2020 Plan and cash fees paid to such non-employee director, will not exceed $1,250,000 in total value. In addition, the aggregate value of any equity award(s) granted by us to any individual for service as a</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non-employee director upon or in connection with his or her initial election or appointment to the Board of Directors will not exceed $2,000,000 in total value (such that the aggregate compensation granted or paid by us to any individual for service as a non-employee director with respect to an annual period in which such individual is first appointed or elected to the Board of Directors will not exceed $3,250,000 in total value). For purposes of these limitations,</w:t>
      </w:r>
    </w:p>
    <w:p>
      <w:pPr>
        <w:spacing w:after="0" w:line="2" w:lineRule="exact"/>
        <w:rPr>
          <w:sz w:val="20"/>
          <w:szCs w:val="20"/>
          <w:color w:val="auto"/>
        </w:rPr>
      </w:pPr>
    </w:p>
    <w:p>
      <w:pPr>
        <w:ind w:right="2160"/>
        <w:spacing w:after="0" w:line="442" w:lineRule="auto"/>
        <w:rPr>
          <w:sz w:val="20"/>
          <w:szCs w:val="20"/>
          <w:color w:val="auto"/>
        </w:rPr>
      </w:pPr>
      <w:r>
        <w:rPr>
          <w:rFonts w:ascii="Times New Roman" w:cs="Times New Roman" w:eastAsia="Times New Roman" w:hAnsi="Times New Roman"/>
          <w:sz w:val="18"/>
          <w:szCs w:val="18"/>
          <w:color w:val="auto"/>
        </w:rPr>
        <w:t xml:space="preserve">the value of any equity awards is calculated based on the grant date fair value of such awards for financial reporting purposes. </w:t>
      </w:r>
      <w:r>
        <w:rPr>
          <w:rFonts w:ascii="Times New Roman" w:cs="Times New Roman" w:eastAsia="Times New Roman" w:hAnsi="Times New Roman"/>
          <w:sz w:val="18"/>
          <w:szCs w:val="18"/>
          <w:b w:val="1"/>
          <w:bCs w:val="1"/>
          <w:i w:val="1"/>
          <w:iCs w:val="1"/>
          <w:color w:val="auto"/>
        </w:rPr>
        <w:t>Stock Options</w:t>
      </w:r>
    </w:p>
    <w:p>
      <w:pPr>
        <w:spacing w:after="0" w:line="1" w:lineRule="exact"/>
        <w:rPr>
          <w:sz w:val="20"/>
          <w:szCs w:val="20"/>
          <w:color w:val="auto"/>
        </w:rPr>
      </w:pPr>
    </w:p>
    <w:p>
      <w:pPr>
        <w:ind w:right="320" w:firstLine="551"/>
        <w:spacing w:after="0" w:line="250" w:lineRule="auto"/>
        <w:rPr>
          <w:sz w:val="20"/>
          <w:szCs w:val="20"/>
          <w:color w:val="auto"/>
        </w:rPr>
      </w:pPr>
      <w:r>
        <w:rPr>
          <w:rFonts w:ascii="Times New Roman" w:cs="Times New Roman" w:eastAsia="Times New Roman" w:hAnsi="Times New Roman"/>
          <w:sz w:val="18"/>
          <w:szCs w:val="18"/>
          <w:color w:val="auto"/>
        </w:rPr>
        <w:t>Stock options may be granted under the Amended 2020 Plan pursuant to stock option agreements. The Amended 2020 Plan permits the grant of stock options that are intended to qualify as incentive stock options, or ISOs, and nonstatutory stock options, or NSOs.</w:t>
      </w:r>
    </w:p>
    <w:p>
      <w:pPr>
        <w:spacing w:after="0" w:line="149" w:lineRule="exact"/>
        <w:rPr>
          <w:sz w:val="20"/>
          <w:szCs w:val="20"/>
          <w:color w:val="auto"/>
        </w:rPr>
      </w:pPr>
    </w:p>
    <w:p>
      <w:pPr>
        <w:ind w:firstLine="551"/>
        <w:spacing w:after="0" w:line="222" w:lineRule="auto"/>
        <w:rPr>
          <w:sz w:val="20"/>
          <w:szCs w:val="20"/>
          <w:color w:val="auto"/>
        </w:rPr>
      </w:pPr>
      <w:r>
        <w:rPr>
          <w:rFonts w:ascii="Times New Roman" w:cs="Times New Roman" w:eastAsia="Times New Roman" w:hAnsi="Times New Roman"/>
          <w:sz w:val="18"/>
          <w:szCs w:val="18"/>
          <w:color w:val="auto"/>
        </w:rPr>
        <w:t>The exercise price of a stock option granted under the Amended 2020 Plan may not be less than 100% of the fair market value of the common stock subject to the stock option on the date of grant and, in some cases (see “Limitations on Incentive Stock Options” below), may not be less than 110% of such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market value.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The term of stock options granted under the Amended 2020 Plan may not exceed ten years from the date of grant and, in some cases (see</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“Limitations on Incentive Stock Options” below), may not exceed five years from the date of grant. Except as otherwise provided in a participant’s stock option agreement or other written agreement with us or one of our affiliates, if a participant’s service relationship with us or any of our affiliates (referred to in this Proposal Three as “continuous service”) terminates (other than for cause (as defined in the Amended 2020 Plan) or the participant’s death or</w:t>
      </w:r>
    </w:p>
    <w:p>
      <w:pPr>
        <w:spacing w:after="0" w:line="2" w:lineRule="exact"/>
        <w:rPr>
          <w:sz w:val="20"/>
          <w:szCs w:val="20"/>
          <w:color w:val="auto"/>
        </w:rPr>
      </w:pPr>
    </w:p>
    <w:p>
      <w:pPr>
        <w:jc w:val="both"/>
        <w:ind w:right="100"/>
        <w:spacing w:after="0" w:line="208" w:lineRule="auto"/>
        <w:rPr>
          <w:sz w:val="20"/>
          <w:szCs w:val="20"/>
          <w:color w:val="auto"/>
        </w:rPr>
      </w:pPr>
      <w:r>
        <w:rPr>
          <w:rFonts w:ascii="Times New Roman" w:cs="Times New Roman" w:eastAsia="Times New Roman" w:hAnsi="Times New Roman"/>
          <w:sz w:val="18"/>
          <w:szCs w:val="18"/>
          <w:color w:val="auto"/>
        </w:rPr>
        <w:t>disability (as defined in the Amended 2020 Plan)), the participant may exercise any vested stock options for up to three months following the participant’s termination of continuous service. Except as otherwise provided in a participant’s stock option agreement or other written agreement with us or one of our affiliates, if a participant’s continuous service terminates due to the participant’s disability, the participant may exercise any vested stock options for up to</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12 months following the participant’s termination due to the participant’s disability. Except as otherwise provided in a participant’s stock option agreement or other written agreement with us or one of our affiliates, if a participant’s continuous service terminates due to the participant’s death (or the participant dies within a specified period following termination of continuous service), the participant’s beneficiary may exercise any vested stock options for up to 18</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months following the participant’s death. Except as explicitly provided otherwise in a participant’s stock option agreement or other written agreement with us or one of our affiliates, if a participant’s continuous service is terminated for cause, all stock options held by the participant will terminate upon the participant’s termination of continuous service and the participant will be prohibited from exercising any stock option from and after such termination date.</w:t>
      </w:r>
    </w:p>
    <w:p>
      <w:pPr>
        <w:spacing w:after="0" w:line="2" w:lineRule="exact"/>
        <w:rPr>
          <w:sz w:val="20"/>
          <w:szCs w:val="20"/>
          <w:color w:val="auto"/>
        </w:rPr>
      </w:pPr>
    </w:p>
    <w:p>
      <w:pPr>
        <w:spacing w:after="0" w:line="214" w:lineRule="auto"/>
        <w:rPr>
          <w:sz w:val="20"/>
          <w:szCs w:val="20"/>
          <w:color w:val="auto"/>
        </w:rPr>
      </w:pPr>
      <w:r>
        <w:rPr>
          <w:rFonts w:ascii="Times New Roman" w:cs="Times New Roman" w:eastAsia="Times New Roman" w:hAnsi="Times New Roman"/>
          <w:sz w:val="18"/>
          <w:szCs w:val="18"/>
          <w:color w:val="auto"/>
        </w:rPr>
        <w:t>Except as otherwise provided in a participant’s stock option agreement or other written agreement with us or one of our affiliates, the term of a stock option may be extended if a participant’s continuous service terminates for any reason other than for cause and, at any time during the applicable post-termination exercise period, the exercise of the stock option would be prohibited by applicable laws or the sale of any common stock received upon such exercise would violate our insider trading policy. In no event, however, may a stock option be exercised after its original expiration date.</w:t>
      </w:r>
    </w:p>
    <w:p>
      <w:pPr>
        <w:spacing w:after="0" w:line="200" w:lineRule="exact"/>
        <w:rPr>
          <w:sz w:val="20"/>
          <w:szCs w:val="20"/>
          <w:color w:val="auto"/>
        </w:rPr>
      </w:pPr>
    </w:p>
    <w:p>
      <w:pPr>
        <w:ind w:right="40" w:firstLine="551"/>
        <w:spacing w:after="0" w:line="229" w:lineRule="auto"/>
        <w:rPr>
          <w:sz w:val="20"/>
          <w:szCs w:val="20"/>
          <w:color w:val="auto"/>
        </w:rPr>
      </w:pPr>
      <w:r>
        <w:rPr>
          <w:rFonts w:ascii="Times New Roman" w:cs="Times New Roman" w:eastAsia="Times New Roman" w:hAnsi="Times New Roman"/>
          <w:sz w:val="17"/>
          <w:szCs w:val="17"/>
          <w:color w:val="auto"/>
        </w:rPr>
        <w:t>In addition, the current form of stock option agreement for employees (other than Dr. Gorman) under the Amended 2020 Plan provides that if an employee’s continuous service terminates due to the employee’s retirement (as defined in the employee’s stock option agreement and described below), the employee’s stock option will become fully vested as of the date of such retirement, and the employee may exercise such stock option for up to 12 months</w:t>
      </w:r>
    </w:p>
    <w:p>
      <w:pPr>
        <w:ind w:right="20"/>
        <w:spacing w:after="0" w:line="208" w:lineRule="auto"/>
        <w:rPr>
          <w:sz w:val="20"/>
          <w:szCs w:val="20"/>
          <w:color w:val="auto"/>
        </w:rPr>
      </w:pPr>
      <w:r>
        <w:rPr>
          <w:rFonts w:ascii="Times New Roman" w:cs="Times New Roman" w:eastAsia="Times New Roman" w:hAnsi="Times New Roman"/>
          <w:sz w:val="18"/>
          <w:szCs w:val="18"/>
          <w:color w:val="auto"/>
        </w:rPr>
        <w:t>following such retirement. For purposes of the foregoing, “retirement” generally means a termination of an employee’s continuous service upon or after the employee has reached age 60 with at least five years of continuous service, provided that the employee complies with any other requirements in the Company’s then-current policy regarding retirement. The current form of stock option agreement for Dr. Gorman under the Amended 2020 Plan does not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for any retirement-related benefits.</w:t>
      </w:r>
    </w:p>
    <w:p>
      <w:pPr>
        <w:spacing w:after="0" w:line="165" w:lineRule="exact"/>
        <w:rPr>
          <w:sz w:val="20"/>
          <w:szCs w:val="20"/>
          <w:color w:val="auto"/>
        </w:rPr>
      </w:pPr>
    </w:p>
    <w:p>
      <w:pPr>
        <w:ind w:right="160" w:firstLine="551"/>
        <w:spacing w:after="0" w:line="222" w:lineRule="auto"/>
        <w:rPr>
          <w:sz w:val="20"/>
          <w:szCs w:val="20"/>
          <w:color w:val="auto"/>
        </w:rPr>
      </w:pPr>
      <w:r>
        <w:rPr>
          <w:rFonts w:ascii="Times New Roman" w:cs="Times New Roman" w:eastAsia="Times New Roman" w:hAnsi="Times New Roman"/>
          <w:sz w:val="18"/>
          <w:szCs w:val="18"/>
          <w:color w:val="auto"/>
        </w:rPr>
        <w:t>Acceptable forms of consideration for the purchase of our common stock pursuant to the exercise of a stock option under the Amended 2020 Plan will be determined by the Plan Administrator and may include payment: (i) by cash, check, bank draft or money order payable to us; (ii) pursuant to a</w:t>
      </w:r>
    </w:p>
    <w:p>
      <w:pPr>
        <w:spacing w:after="0" w:line="2"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7"/>
          <w:szCs w:val="17"/>
          <w:color w:val="auto"/>
        </w:rPr>
        <w:t>program developed under Regulation T as promulgated by the Federal Reserve Board; (iii) by delivery to us of shares of our common stock (either by actual delivery or attestation); (iv) by a net exercise arrangement (for NSOs only); or (v) in other legal consideration approved by the Plan Administrator.</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Stock options granted under the Amended 2020 Plan may become exercisable in cumulative increments, or “vest,” as determined by the Plan</w:t>
      </w:r>
    </w:p>
    <w:p>
      <w:pPr>
        <w:spacing w:after="0" w:line="2"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18"/>
          <w:szCs w:val="18"/>
          <w:color w:val="auto"/>
        </w:rPr>
        <w:t>Administrator at the rate specified in the stock option agreement. Shares covered by different stock options granted under the Amended 2020 Plan may be subject to different vesting schedules as the Plan Administrator may determine.</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Plan Administrator may impose limitations on the transferability of stock options granted under the Amended 2020 Plan in its discretion.</w:t>
      </w:r>
    </w:p>
    <w:p>
      <w:pPr>
        <w:spacing w:after="0" w:line="2"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8"/>
          <w:szCs w:val="18"/>
          <w:color w:val="auto"/>
        </w:rPr>
        <w:t>Generally, a participant may not transfer a stock option granted under the Amended 2020 Plan other than by will or the laws of descent and distribution or, subject to approval by the Plan Administrator, pursuant to a domestic relations order. However, the Plan Administrator may permit transfer of a stock option in a manner that is not prohibited by applicable tax and securities laws. Options may not be transferred to a third party financial institution for value.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Incentive Stock Options</w:t>
      </w:r>
    </w:p>
    <w:p>
      <w:pPr>
        <w:spacing w:after="0" w:line="189" w:lineRule="exact"/>
        <w:rPr>
          <w:sz w:val="20"/>
          <w:szCs w:val="20"/>
          <w:color w:val="auto"/>
        </w:rPr>
      </w:pPr>
    </w:p>
    <w:p>
      <w:pPr>
        <w:ind w:right="200" w:firstLine="551"/>
        <w:spacing w:after="0" w:line="236" w:lineRule="auto"/>
        <w:rPr>
          <w:sz w:val="20"/>
          <w:szCs w:val="20"/>
          <w:color w:val="auto"/>
        </w:rPr>
      </w:pPr>
      <w:r>
        <w:rPr>
          <w:rFonts w:ascii="Times New Roman" w:cs="Times New Roman" w:eastAsia="Times New Roman" w:hAnsi="Times New Roman"/>
          <w:sz w:val="17"/>
          <w:szCs w:val="17"/>
          <w:color w:val="auto"/>
        </w:rPr>
        <w:t>In accordance with current federal tax laws, the aggregate fair market value, determined at the time of grant, of shares of our common stock with respect to ISOs that are exercisable for the first time by a participant during any calendar year under all of our stock plans may not exceed $100,000. The</w:t>
      </w:r>
    </w:p>
    <w:p>
      <w:pPr>
        <w:ind w:right="360"/>
        <w:spacing w:after="0" w:line="218" w:lineRule="auto"/>
        <w:rPr>
          <w:sz w:val="20"/>
          <w:szCs w:val="20"/>
          <w:color w:val="auto"/>
        </w:rPr>
      </w:pPr>
      <w:r>
        <w:rPr>
          <w:rFonts w:ascii="Times New Roman" w:cs="Times New Roman" w:eastAsia="Times New Roman" w:hAnsi="Times New Roman"/>
          <w:sz w:val="18"/>
          <w:szCs w:val="18"/>
          <w:color w:val="auto"/>
        </w:rPr>
        <w:t>stock options or portions of stock options that exceed this limit or otherwise fail to qualify as ISOs are treated as NSOs. No ISO may be granted to any person who, at the time of grant, owns or is deemed to own stock possessing more than 10% of our total combined voting power unless the following conditions are satisfied:</w:t>
      </w:r>
    </w:p>
    <w:p>
      <w:pPr>
        <w:spacing w:after="0" w:line="172"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the ISO must be at least 110% of the fair market value of the common stock subject to the ISO on the date of grant; and</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ISO must not exceed five years from the date of grant.</w:t>
      </w:r>
    </w:p>
    <w:p>
      <w:pPr>
        <w:spacing w:after="0" w:line="180" w:lineRule="exact"/>
        <w:rPr>
          <w:sz w:val="20"/>
          <w:szCs w:val="20"/>
          <w:color w:val="auto"/>
        </w:rPr>
      </w:pPr>
    </w:p>
    <w:p>
      <w:pPr>
        <w:ind w:right="140" w:firstLine="551"/>
        <w:spacing w:after="0" w:line="250" w:lineRule="auto"/>
        <w:rPr>
          <w:sz w:val="20"/>
          <w:szCs w:val="20"/>
          <w:color w:val="auto"/>
        </w:rPr>
      </w:pPr>
      <w:r>
        <w:rPr>
          <w:rFonts w:ascii="Times New Roman" w:cs="Times New Roman" w:eastAsia="Times New Roman" w:hAnsi="Times New Roman"/>
          <w:sz w:val="18"/>
          <w:szCs w:val="18"/>
          <w:color w:val="auto"/>
        </w:rPr>
        <w:t>Subject to adjustment for certain changes in our capitalization, the aggregate maximum number of shares of our common stock that may be issued pursuant to the exercise of ISOs under the Amended 2020 Plan is 34,135,000 shares.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02" w:lineRule="exact"/>
        <w:rPr>
          <w:sz w:val="20"/>
          <w:szCs w:val="20"/>
          <w:color w:val="auto"/>
        </w:rPr>
      </w:pPr>
    </w:p>
    <w:p>
      <w:pPr>
        <w:ind w:right="40" w:firstLine="551"/>
        <w:spacing w:after="0" w:line="216" w:lineRule="auto"/>
        <w:rPr>
          <w:sz w:val="20"/>
          <w:szCs w:val="20"/>
          <w:color w:val="auto"/>
        </w:rPr>
      </w:pPr>
      <w:r>
        <w:rPr>
          <w:rFonts w:ascii="Times New Roman" w:cs="Times New Roman" w:eastAsia="Times New Roman" w:hAnsi="Times New Roman"/>
          <w:sz w:val="18"/>
          <w:szCs w:val="18"/>
          <w:color w:val="auto"/>
        </w:rPr>
        <w:t>Stock appreciation rights may be granted under the Amended 2020 Plan pursuant to stock appreciation right agreements. Each stock appreciation right is denominated in common stock share equivalents. The strike price of each stock appreciation right will be determined by the Plan Administrator, but will in no event be less than 100% of the fair market value of the common stock subject to the stock appreciation right on the date of grant. The term of</w:t>
      </w:r>
    </w:p>
    <w:p>
      <w:pPr>
        <w:spacing w:after="0" w:line="1" w:lineRule="exact"/>
        <w:rPr>
          <w:sz w:val="20"/>
          <w:szCs w:val="20"/>
          <w:color w:val="auto"/>
        </w:rPr>
      </w:pPr>
    </w:p>
    <w:p>
      <w:pPr>
        <w:ind w:right="120"/>
        <w:spacing w:after="0" w:line="208" w:lineRule="auto"/>
        <w:rPr>
          <w:sz w:val="20"/>
          <w:szCs w:val="20"/>
          <w:color w:val="auto"/>
        </w:rPr>
      </w:pPr>
      <w:r>
        <w:rPr>
          <w:rFonts w:ascii="Times New Roman" w:cs="Times New Roman" w:eastAsia="Times New Roman" w:hAnsi="Times New Roman"/>
          <w:sz w:val="18"/>
          <w:szCs w:val="18"/>
          <w:color w:val="auto"/>
        </w:rPr>
        <w:t>stock appreciation rights granted under the Amended 2020 Plan may not exceed ten years from the date of grant. The Plan Administrator may also impose restrictions or conditions upon the vesting of stock appreciation rights that it deems appropriate. The appreciation distribution payable upon exercise of a stock appreciation right may be paid in shares of our common stock, in cash, in a combination of cash and stock, or in any other form of consideration</w:t>
      </w:r>
    </w:p>
    <w:p>
      <w:pPr>
        <w:spacing w:after="0" w:line="2" w:lineRule="exact"/>
        <w:rPr>
          <w:sz w:val="20"/>
          <w:szCs w:val="20"/>
          <w:color w:val="auto"/>
        </w:rPr>
      </w:pPr>
    </w:p>
    <w:p>
      <w:pPr>
        <w:ind w:right="740"/>
        <w:spacing w:after="0" w:line="226" w:lineRule="auto"/>
        <w:rPr>
          <w:sz w:val="20"/>
          <w:szCs w:val="20"/>
          <w:color w:val="auto"/>
        </w:rPr>
      </w:pPr>
      <w:r>
        <w:rPr>
          <w:rFonts w:ascii="Times New Roman" w:cs="Times New Roman" w:eastAsia="Times New Roman" w:hAnsi="Times New Roman"/>
          <w:sz w:val="18"/>
          <w:szCs w:val="18"/>
          <w:color w:val="auto"/>
        </w:rPr>
        <w:t>determined by the Plan Administrator and set forth in the stock appreciation right agreement. Stock appreciation rights will be subject to the same conditions upon termination of continuous service and restrictions on transfer as stock options under the Amended 2020 Plan.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02" w:lineRule="exact"/>
        <w:rPr>
          <w:sz w:val="20"/>
          <w:szCs w:val="20"/>
          <w:color w:val="auto"/>
        </w:rPr>
      </w:pPr>
    </w:p>
    <w:p>
      <w:pPr>
        <w:jc w:val="both"/>
        <w:ind w:right="40" w:firstLine="551"/>
        <w:spacing w:after="0" w:line="216" w:lineRule="auto"/>
        <w:rPr>
          <w:sz w:val="20"/>
          <w:szCs w:val="20"/>
          <w:color w:val="auto"/>
        </w:rPr>
      </w:pPr>
      <w:r>
        <w:rPr>
          <w:rFonts w:ascii="Times New Roman" w:cs="Times New Roman" w:eastAsia="Times New Roman" w:hAnsi="Times New Roman"/>
          <w:sz w:val="18"/>
          <w:szCs w:val="18"/>
          <w:color w:val="auto"/>
        </w:rPr>
        <w:t>Restricted stock awards may be granted under the Amended 2020 Plan pursuant to restricted stock award agreements. A restricted stock award may be granted in consideration for cash, check, bank draft or money order payable to us, the participant’s services performed for us, or any other form of legal consideration acceptable to the Plan Administrator. Shares of our common stock acquired under a restricted stock award may be subject to forfeiture to or</w:t>
      </w:r>
    </w:p>
    <w:p>
      <w:pPr>
        <w:spacing w:after="0" w:line="1" w:lineRule="exact"/>
        <w:rPr>
          <w:sz w:val="20"/>
          <w:szCs w:val="20"/>
          <w:color w:val="auto"/>
        </w:rPr>
      </w:pPr>
    </w:p>
    <w:p>
      <w:pPr>
        <w:ind w:right="60"/>
        <w:spacing w:after="0" w:line="214" w:lineRule="auto"/>
        <w:rPr>
          <w:sz w:val="20"/>
          <w:szCs w:val="20"/>
          <w:color w:val="auto"/>
        </w:rPr>
      </w:pPr>
      <w:r>
        <w:rPr>
          <w:rFonts w:ascii="Times New Roman" w:cs="Times New Roman" w:eastAsia="Times New Roman" w:hAnsi="Times New Roman"/>
          <w:sz w:val="18"/>
          <w:szCs w:val="18"/>
          <w:color w:val="auto"/>
        </w:rPr>
        <w:t>repurchase by us in accordance with a vesting schedule to be determined by the Plan Administrator. Rights to acquire shares of our common stock under a restricted stock award may be transferred only upon such terms and conditions as are set forth in the restricted stock award agreement. Upon a participant’s termination of continuous service for any reason, any shares subject to restricted stock awards held by the participant that have not vested as of such termination date may be forfeited to or repurchased by us.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p>
    <w:p>
      <w:pPr>
        <w:spacing w:after="0" w:line="189" w:lineRule="exact"/>
        <w:rPr>
          <w:sz w:val="20"/>
          <w:szCs w:val="20"/>
          <w:color w:val="auto"/>
        </w:rPr>
      </w:pPr>
    </w:p>
    <w:p>
      <w:pPr>
        <w:ind w:right="280" w:firstLine="551"/>
        <w:spacing w:after="0" w:line="222" w:lineRule="auto"/>
        <w:rPr>
          <w:sz w:val="20"/>
          <w:szCs w:val="20"/>
          <w:color w:val="auto"/>
        </w:rPr>
      </w:pPr>
      <w:r>
        <w:rPr>
          <w:rFonts w:ascii="Times New Roman" w:cs="Times New Roman" w:eastAsia="Times New Roman" w:hAnsi="Times New Roman"/>
          <w:sz w:val="18"/>
          <w:szCs w:val="18"/>
          <w:color w:val="auto"/>
        </w:rPr>
        <w:t>Restricted stock unit awards may be granted under the Amended 2020 Plan pursuant to restricted stock unit award agreements. Payment of any purchase price may be made in any form of legal consideration acceptable to the Plan Administrator. A restricted stock unit award may be settled by the</w:t>
      </w:r>
    </w:p>
    <w:p>
      <w:pPr>
        <w:spacing w:after="0" w:line="2"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7"/>
          <w:szCs w:val="17"/>
          <w:color w:val="auto"/>
        </w:rPr>
        <w:t>delivery of shares of our common stock, in cash, in a combination of cash and stock, or in any other form of consideration determined by the Plan Administrator and set forth in the restricted stock unit award agreement. Restricted stock unit awards may be subject to vesting in accordance with a vesting schedule to be determined by the Plan Administrator. Except as otherwise provided in a participant’s restricted stock unit award agreement or other</w:t>
      </w:r>
    </w:p>
    <w:p>
      <w:pPr>
        <w:spacing w:after="0" w:line="2" w:lineRule="exact"/>
        <w:rPr>
          <w:sz w:val="20"/>
          <w:szCs w:val="20"/>
          <w:color w:val="auto"/>
        </w:rPr>
      </w:pPr>
    </w:p>
    <w:p>
      <w:pPr>
        <w:ind w:right="480"/>
        <w:spacing w:after="0" w:line="226" w:lineRule="auto"/>
        <w:rPr>
          <w:sz w:val="20"/>
          <w:szCs w:val="20"/>
          <w:color w:val="auto"/>
        </w:rPr>
      </w:pPr>
      <w:r>
        <w:rPr>
          <w:rFonts w:ascii="Times New Roman" w:cs="Times New Roman" w:eastAsia="Times New Roman" w:hAnsi="Times New Roman"/>
          <w:sz w:val="18"/>
          <w:szCs w:val="18"/>
          <w:color w:val="auto"/>
        </w:rPr>
        <w:t>written agreement with us, restricted stock units that have not vested will be forfeited upon the participant’s termination of continuous service for any reason.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Awards</w:t>
      </w:r>
    </w:p>
    <w:p>
      <w:pPr>
        <w:spacing w:after="0" w:line="189" w:lineRule="exact"/>
        <w:rPr>
          <w:sz w:val="20"/>
          <w:szCs w:val="20"/>
          <w:color w:val="auto"/>
        </w:rPr>
      </w:pPr>
    </w:p>
    <w:p>
      <w:pPr>
        <w:ind w:right="120" w:firstLine="551"/>
        <w:spacing w:after="0" w:line="222" w:lineRule="auto"/>
        <w:rPr>
          <w:sz w:val="20"/>
          <w:szCs w:val="20"/>
          <w:color w:val="auto"/>
        </w:rPr>
      </w:pPr>
      <w:r>
        <w:rPr>
          <w:rFonts w:ascii="Times New Roman" w:cs="Times New Roman" w:eastAsia="Times New Roman" w:hAnsi="Times New Roman"/>
          <w:sz w:val="18"/>
          <w:szCs w:val="18"/>
          <w:color w:val="auto"/>
        </w:rPr>
        <w:t>The Amended 2020 Plan allows us to grant performance awards. A performance award is an award that may vest or may be exercised, or that may become earned and paid, contingent upon the attainment of certain performance goals during a performance period. A performance award may require the</w:t>
      </w:r>
    </w:p>
    <w:p>
      <w:pPr>
        <w:spacing w:after="0" w:line="2" w:lineRule="exact"/>
        <w:rPr>
          <w:sz w:val="20"/>
          <w:szCs w:val="20"/>
          <w:color w:val="auto"/>
        </w:rPr>
      </w:pPr>
    </w:p>
    <w:p>
      <w:pPr>
        <w:ind w:right="440"/>
        <w:spacing w:after="0" w:line="208" w:lineRule="auto"/>
        <w:rPr>
          <w:sz w:val="20"/>
          <w:szCs w:val="20"/>
          <w:color w:val="auto"/>
        </w:rPr>
      </w:pPr>
      <w:r>
        <w:rPr>
          <w:rFonts w:ascii="Times New Roman" w:cs="Times New Roman" w:eastAsia="Times New Roman" w:hAnsi="Times New Roman"/>
          <w:sz w:val="18"/>
          <w:szCs w:val="18"/>
          <w:color w:val="auto"/>
        </w:rPr>
        <w:t>completion of a specified period of continuous service. The length of any performance period, the performance goals to be achieved during the performance period, and the measure of whether and to what degree such performance goals have been attained will be determined by the Plan Administrator in its discretion. In addition, to the extent permitted by applicable law and the applicable award agreement, the Plan Administrator may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 that cash may be used in payment of performance awards.</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Performance goals under the Amended 2020 Plan will be based on any one or more of the following performance criteria: (1) earnings (including</w:t>
      </w:r>
    </w:p>
    <w:p>
      <w:pPr>
        <w:spacing w:after="0" w:line="219" w:lineRule="auto"/>
        <w:rPr>
          <w:sz w:val="20"/>
          <w:szCs w:val="20"/>
          <w:color w:val="auto"/>
        </w:rPr>
      </w:pPr>
      <w:r>
        <w:rPr>
          <w:rFonts w:ascii="Times New Roman" w:cs="Times New Roman" w:eastAsia="Times New Roman" w:hAnsi="Times New Roman"/>
          <w:sz w:val="18"/>
          <w:szCs w:val="18"/>
          <w:color w:val="auto"/>
        </w:rPr>
        <w:t>earnings per share and net earnings, in either case before or after any or all of: interest, taxes, depreciation and amortization, legal settlements or other</w:t>
      </w:r>
    </w:p>
    <w:p>
      <w:pPr>
        <w:jc w:val="both"/>
        <w:ind w:right="460"/>
        <w:spacing w:after="0" w:line="208" w:lineRule="auto"/>
        <w:rPr>
          <w:sz w:val="20"/>
          <w:szCs w:val="20"/>
          <w:color w:val="auto"/>
        </w:rPr>
      </w:pPr>
      <w:r>
        <w:rPr>
          <w:rFonts w:ascii="Times New Roman" w:cs="Times New Roman" w:eastAsia="Times New Roman" w:hAnsi="Times New Roman"/>
          <w:sz w:val="18"/>
          <w:szCs w:val="18"/>
          <w:color w:val="auto"/>
        </w:rPr>
        <w:t>income (expense), or stock-based compensation, other non-cash expenses and changes in deferred revenue); (2) total stockholder return; (3) return on equity or average stockholder’s equity; (4) return on assets, investment, or capital employed; (5) stock price; (6) margin (including gross margin); (7) income (before or after taxes); (8) operating income; (9) operating income after taxes; (10) pre-tax profit; (11) operating cash flow; (12) sales,</w:t>
      </w:r>
    </w:p>
    <w:p>
      <w:pPr>
        <w:spacing w:after="0" w:line="2"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17"/>
          <w:szCs w:val="17"/>
          <w:color w:val="auto"/>
        </w:rPr>
        <w:t>prescriptions, or revenue targets; (13) increases in revenue or product revenue; (14) expenses and cost reduction goals; (15) improvement in or attainment of working capital levels; (16) economic value added (or an equivalent metric); (17) market share; (18) cash flow; (19) cash flow per share; (20) cash burn;</w:t>
      </w:r>
    </w:p>
    <w:p>
      <w:pPr>
        <w:spacing w:after="0" w:line="1" w:lineRule="exact"/>
        <w:rPr>
          <w:sz w:val="20"/>
          <w:szCs w:val="20"/>
          <w:color w:val="auto"/>
        </w:rPr>
      </w:pPr>
    </w:p>
    <w:p>
      <w:pPr>
        <w:ind w:right="40" w:firstLine="8"/>
        <w:spacing w:after="0" w:line="211" w:lineRule="auto"/>
        <w:tabs>
          <w:tab w:leader="none" w:pos="3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performance; (22) debt reduction; (23) implementation or completion of projects or processes (including, without limitation, discovery of a pre-clinical drug candidate, recommendation of a drug candidate to enter a clinical trial, clinical trial initiation, clinical trial enrollment and dates, clinical trial results, regulatory filing submissions, regulatory filing acceptances, regulatory or advisory committee interactions, regulatory approvals, presentation of studies and launch of commercial plans, compliance programs or education campaigns); (24) customer satisfaction; (25) stockholders’ equity;</w:t>
      </w:r>
    </w:p>
    <w:p>
      <w:pPr>
        <w:spacing w:after="0" w:line="1" w:lineRule="exact"/>
        <w:rPr>
          <w:rFonts w:ascii="Times New Roman" w:cs="Times New Roman" w:eastAsia="Times New Roman" w:hAnsi="Times New Roman"/>
          <w:sz w:val="18"/>
          <w:szCs w:val="18"/>
          <w:color w:val="auto"/>
        </w:rPr>
      </w:pPr>
    </w:p>
    <w:p>
      <w:pPr>
        <w:ind w:firstLine="8"/>
        <w:spacing w:after="0" w:line="215" w:lineRule="auto"/>
        <w:tabs>
          <w:tab w:leader="none" w:pos="34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(27) debt levels; (28) financings; (29) operating profit or net operating profit; (30) workforce diversity; (31) growth of net income or operating income; (32) billings; (33) employee hiring; (34) funds from operations; (35) budget management; (36) strategic partnerships or transactions (including acquisitions, joint ventures or licensing transactions); (37) engagement of thought leaders and patient advocacy groups; (38) enhancement of intellectual property portfolio, filing of patent applications and granting of patents; (39) litigation preparation and management; and (40) any other measure of performance selected by the Plan Administrator.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Performance goals may be based on a Company-wide basis, with respect to one or more business units, divisions, affiliates or business segments,</w:t>
      </w:r>
    </w:p>
    <w:p>
      <w:pPr>
        <w:spacing w:after="0" w:line="2"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and in either absolute terms or relative to the performance of one or more comparable companies or the performance of one or more relevant indices. Unless specified otherwise by the Plan Administrator (i) in the award agreement at the time the award is granted or (ii) in such other document setting forth the performance goals at the time the performance goals are established, the Plan Administrator will appropriately make adjustments in the method of</w:t>
      </w:r>
    </w:p>
    <w:p>
      <w:pPr>
        <w:spacing w:after="0" w:line="205" w:lineRule="auto"/>
        <w:rPr>
          <w:sz w:val="20"/>
          <w:szCs w:val="20"/>
          <w:color w:val="auto"/>
        </w:rPr>
      </w:pPr>
      <w:r>
        <w:rPr>
          <w:rFonts w:ascii="Times New Roman" w:cs="Times New Roman" w:eastAsia="Times New Roman" w:hAnsi="Times New Roman"/>
          <w:sz w:val="18"/>
          <w:szCs w:val="18"/>
          <w:color w:val="auto"/>
        </w:rPr>
        <w:t>calculating the attainment of the performance goals for a performance period as follows: (1) to exclude restructuring and/or other nonrecurring charges;</w:t>
      </w:r>
    </w:p>
    <w:p>
      <w:pPr>
        <w:spacing w:after="0" w:line="1" w:lineRule="exact"/>
        <w:rPr>
          <w:sz w:val="20"/>
          <w:szCs w:val="20"/>
          <w:color w:val="auto"/>
        </w:rPr>
      </w:pPr>
    </w:p>
    <w:p>
      <w:pPr>
        <w:ind w:right="40" w:firstLine="8"/>
        <w:spacing w:after="0" w:line="211"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exchange rate effects, as applicable, for non-U.S. dollar denominated performance goals;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our bonus plans; (10) to exclude costs incurred in connection with potential acquisitions or divestitures that are required to be expensed under generally accepted accounting principles; (11) to exclude the goodwill and intangible asset impairment charges that are required to be recorded under generally accepted accounting principles; and (12) to exclude the effects of the timing of acceptance for review and/or approval of submissions to the U.S. Food and Drug Administration or any other regulatory body.</w:t>
      </w:r>
    </w:p>
    <w:p>
      <w:pPr>
        <w:spacing w:after="0" w:line="165" w:lineRule="exact"/>
        <w:rPr>
          <w:sz w:val="20"/>
          <w:szCs w:val="20"/>
          <w:color w:val="auto"/>
        </w:rPr>
      </w:pPr>
    </w:p>
    <w:p>
      <w:pPr>
        <w:ind w:right="780" w:firstLine="551"/>
        <w:spacing w:after="0" w:line="250" w:lineRule="auto"/>
        <w:rPr>
          <w:sz w:val="20"/>
          <w:szCs w:val="20"/>
          <w:color w:val="auto"/>
        </w:rPr>
      </w:pPr>
      <w:r>
        <w:rPr>
          <w:rFonts w:ascii="Times New Roman" w:cs="Times New Roman" w:eastAsia="Times New Roman" w:hAnsi="Times New Roman"/>
          <w:sz w:val="18"/>
          <w:szCs w:val="18"/>
          <w:color w:val="auto"/>
        </w:rPr>
        <w:t>In addition, the Plan Administrator retains the discretion to define the manner of calculating the performance criteria it selects to use for a performance period and to reduce or eliminate the compensation or economic benefit due upon the attainment of any performance goal.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Awards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forms of awards valued in whole or in part by reference to, or otherwise based on, our common stock may be granted either alone or in</w:t>
      </w:r>
    </w:p>
    <w:p>
      <w:pPr>
        <w:spacing w:after="0" w:line="2" w:lineRule="exact"/>
        <w:rPr>
          <w:sz w:val="20"/>
          <w:szCs w:val="20"/>
          <w:color w:val="auto"/>
        </w:rPr>
      </w:pPr>
    </w:p>
    <w:p>
      <w:pPr>
        <w:jc w:val="both"/>
        <w:ind w:right="620"/>
        <w:spacing w:after="0" w:line="218" w:lineRule="auto"/>
        <w:rPr>
          <w:sz w:val="20"/>
          <w:szCs w:val="20"/>
          <w:color w:val="auto"/>
        </w:rPr>
      </w:pPr>
      <w:r>
        <w:rPr>
          <w:rFonts w:ascii="Times New Roman" w:cs="Times New Roman" w:eastAsia="Times New Roman" w:hAnsi="Times New Roman"/>
          <w:sz w:val="18"/>
          <w:szCs w:val="18"/>
          <w:color w:val="auto"/>
        </w:rPr>
        <w:t>addition to other awards under the Amended 2020 Plan. Subject to the terms of the Amended 2020 Plan, the Plan Administrator will have sole and complete authority to determine the persons to whom and the time or times at which such other awards will be granted, the number of shares of our common stock to be granted and all other terms and conditions of such other awards.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189" w:lineRule="exact"/>
        <w:rPr>
          <w:sz w:val="20"/>
          <w:szCs w:val="20"/>
          <w:color w:val="auto"/>
        </w:rPr>
      </w:pPr>
    </w:p>
    <w:p>
      <w:pPr>
        <w:ind w:firstLine="551"/>
        <w:spacing w:after="0" w:line="222" w:lineRule="auto"/>
        <w:rPr>
          <w:sz w:val="20"/>
          <w:szCs w:val="20"/>
          <w:color w:val="auto"/>
        </w:rPr>
      </w:pPr>
      <w:r>
        <w:rPr>
          <w:rFonts w:ascii="Times New Roman" w:cs="Times New Roman" w:eastAsia="Times New Roman" w:hAnsi="Times New Roman"/>
          <w:sz w:val="18"/>
          <w:szCs w:val="18"/>
          <w:color w:val="auto"/>
        </w:rPr>
        <w:t>Awards granted under the Amended 2020 Plan will be subject to recoupment in accordance with the Neurocrine Biosciences, Inc. Incentive Compensation Recoupment Policy and any other clawback policy that the Company adopts. In addition, the Board may impose other clawback, recovery or</w:t>
      </w:r>
    </w:p>
    <w:p>
      <w:pPr>
        <w:spacing w:after="0" w:line="2" w:lineRule="exact"/>
        <w:rPr>
          <w:sz w:val="20"/>
          <w:szCs w:val="20"/>
          <w:color w:val="auto"/>
        </w:rPr>
      </w:pPr>
    </w:p>
    <w:p>
      <w:pPr>
        <w:ind w:right="260"/>
        <w:spacing w:after="0" w:line="226" w:lineRule="auto"/>
        <w:rPr>
          <w:sz w:val="20"/>
          <w:szCs w:val="20"/>
          <w:color w:val="auto"/>
        </w:rPr>
      </w:pPr>
      <w:r>
        <w:rPr>
          <w:rFonts w:ascii="Times New Roman" w:cs="Times New Roman" w:eastAsia="Times New Roman" w:hAnsi="Times New Roman"/>
          <w:sz w:val="18"/>
          <w:szCs w:val="18"/>
          <w:color w:val="auto"/>
        </w:rPr>
        <w:t>recoupment provisions in an award agreement, including a reacquisition right in respect of previously acquired shares or other cash or property upon the occurrence of cause.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Capital Structure</w:t>
      </w:r>
    </w:p>
    <w:p>
      <w:pPr>
        <w:spacing w:after="0" w:line="202" w:lineRule="exact"/>
        <w:rPr>
          <w:sz w:val="20"/>
          <w:szCs w:val="20"/>
          <w:color w:val="auto"/>
        </w:rPr>
      </w:pPr>
    </w:p>
    <w:p>
      <w:pPr>
        <w:ind w:right="360" w:firstLine="551"/>
        <w:spacing w:after="0" w:line="216" w:lineRule="auto"/>
        <w:rPr>
          <w:sz w:val="20"/>
          <w:szCs w:val="20"/>
          <w:color w:val="auto"/>
        </w:rPr>
      </w:pPr>
      <w:r>
        <w:rPr>
          <w:rFonts w:ascii="Times New Roman" w:cs="Times New Roman" w:eastAsia="Times New Roman" w:hAnsi="Times New Roman"/>
          <w:sz w:val="18"/>
          <w:szCs w:val="18"/>
          <w:color w:val="auto"/>
        </w:rPr>
        <w:t>In the event of certain capitalization adjustments, the Plan Administrator will appropriately and proportionately adjust: (i) the class(es) and maximum number of shares of our common stock subject to the Amended 2020 Plan; (ii) the class(es) and maximum number of shares of our common stock that may be issued pursuant to the exercise of ISOs; and (iii) the class(es) and number of shares of our common stock and the exercise, strike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price per share of our common stock subject to outstanding awards.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Transaction and Change in Control</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applies to each outstanding award under the Amended 2020 Plan in the event of a corporate transaction (as defined in the Amended</w:t>
      </w:r>
    </w:p>
    <w:p>
      <w:pPr>
        <w:spacing w:after="0" w:line="2" w:lineRule="exact"/>
        <w:rPr>
          <w:sz w:val="20"/>
          <w:szCs w:val="20"/>
          <w:color w:val="auto"/>
        </w:rPr>
      </w:pPr>
    </w:p>
    <w:p>
      <w:pPr>
        <w:ind w:right="140"/>
        <w:spacing w:after="0" w:line="218" w:lineRule="auto"/>
        <w:rPr>
          <w:sz w:val="20"/>
          <w:szCs w:val="20"/>
          <w:color w:val="auto"/>
        </w:rPr>
      </w:pPr>
      <w:r>
        <w:rPr>
          <w:rFonts w:ascii="Times New Roman" w:cs="Times New Roman" w:eastAsia="Times New Roman" w:hAnsi="Times New Roman"/>
          <w:sz w:val="18"/>
          <w:szCs w:val="18"/>
          <w:color w:val="auto"/>
        </w:rPr>
        <w:t>2020 Plan and described below) or a change in control (as defined in the Amended 2020 Plan and described below), unless provided otherwise in the applicable award agreement, in any other written agreement between a participant and the Company or an affiliate, or in any director compensation policy of the Company. For purposes of this Proposal Three, the term “Transaction” will mean such corporate transaction or change in control.</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event of a Transaction, any awards outstanding under the Amended 2020 Plan may be assumed, continued or substituted for by any surviving</w:t>
      </w:r>
    </w:p>
    <w:p>
      <w:pPr>
        <w:spacing w:after="0" w:line="2"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or acquiring corporation (or its parent company) (such entity, the “acquiring entity”), and any reacquisition or repurchase rights held by us with respect to the award may be assigned to the acquiring entity. If the acquiring entity does not assume, continue or substitute for such awards, then (i) with respect to any such awards that are held by participants who are employees or non-employee directors and, in each case, whose continuous service has not terminated</w:t>
      </w:r>
    </w:p>
    <w:p>
      <w:pPr>
        <w:spacing w:after="0" w:line="2" w:lineRule="exact"/>
        <w:rPr>
          <w:sz w:val="20"/>
          <w:szCs w:val="20"/>
          <w:color w:val="auto"/>
        </w:rPr>
      </w:pPr>
    </w:p>
    <w:p>
      <w:pPr>
        <w:ind w:right="140"/>
        <w:spacing w:after="0" w:line="208" w:lineRule="auto"/>
        <w:rPr>
          <w:sz w:val="20"/>
          <w:szCs w:val="20"/>
          <w:color w:val="auto"/>
        </w:rPr>
      </w:pPr>
      <w:r>
        <w:rPr>
          <w:rFonts w:ascii="Times New Roman" w:cs="Times New Roman" w:eastAsia="Times New Roman" w:hAnsi="Times New Roman"/>
          <w:sz w:val="18"/>
          <w:szCs w:val="18"/>
          <w:color w:val="auto"/>
        </w:rPr>
        <w:t>prior to the effective time of the Transaction (such participants, the “current employee and director participants”), the vesting (and exercisability, if applicable) of such awards will be accelerated in full (and with respect to any such awards that are subject to performance-based vesting conditions or requirements, vesting will be deemed to be satisfied at the greater of (x) the target level of performance or (y) the actual level of performance measured in</w:t>
      </w:r>
    </w:p>
    <w:p>
      <w:pPr>
        <w:spacing w:after="0" w:line="2"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7"/>
          <w:szCs w:val="17"/>
          <w:color w:val="auto"/>
        </w:rPr>
        <w:t>accordance with the applicable performance goals as of the date of the Transaction) to a date prior to the effective time of the Transaction (contingent upon the effectiveness of the Transaction), and such awards will terminate if not exercised (if applicable) at or prior to the effective time of the Transaction, and any reacquisition or repurchase rights held by us with respect to such awards will lapse (contingent upon the effectiveness of the Transaction), and (ii) any</w:t>
      </w:r>
    </w:p>
    <w:p>
      <w:pPr>
        <w:spacing w:after="0" w:line="2" w:lineRule="exact"/>
        <w:rPr>
          <w:sz w:val="20"/>
          <w:szCs w:val="20"/>
          <w:color w:val="auto"/>
        </w:rPr>
      </w:pPr>
    </w:p>
    <w:p>
      <w:pPr>
        <w:ind w:right="260"/>
        <w:spacing w:after="0" w:line="218" w:lineRule="auto"/>
        <w:rPr>
          <w:sz w:val="20"/>
          <w:szCs w:val="20"/>
          <w:color w:val="auto"/>
        </w:rPr>
      </w:pPr>
      <w:r>
        <w:rPr>
          <w:rFonts w:ascii="Times New Roman" w:cs="Times New Roman" w:eastAsia="Times New Roman" w:hAnsi="Times New Roman"/>
          <w:sz w:val="18"/>
          <w:szCs w:val="18"/>
          <w:color w:val="auto"/>
        </w:rPr>
        <w:t>such awards that are held by persons other than current employee and director participants will terminate if not exercised (if applicable) at or prior to the effective time of the Transaction, except that any reacquisition or repurchase rights held by us with respect to such awards will not terminate and may continue to be exercised notwithstanding the Transaction.</w:t>
      </w:r>
    </w:p>
    <w:p>
      <w:pPr>
        <w:spacing w:after="0" w:line="172" w:lineRule="exact"/>
        <w:rPr>
          <w:sz w:val="20"/>
          <w:szCs w:val="20"/>
          <w:color w:val="auto"/>
        </w:rPr>
      </w:pPr>
    </w:p>
    <w:p>
      <w:pPr>
        <w:ind w:right="40" w:firstLine="551"/>
        <w:spacing w:after="0" w:line="226" w:lineRule="auto"/>
        <w:rPr>
          <w:sz w:val="20"/>
          <w:szCs w:val="20"/>
          <w:color w:val="auto"/>
        </w:rPr>
      </w:pPr>
      <w:r>
        <w:rPr>
          <w:rFonts w:ascii="Times New Roman" w:cs="Times New Roman" w:eastAsia="Times New Roman" w:hAnsi="Times New Roman"/>
          <w:sz w:val="18"/>
          <w:szCs w:val="18"/>
          <w:color w:val="auto"/>
        </w:rPr>
        <w:t>In the event an award will terminate if not exercised at or prior to the effective time of a Transaction, the Plan Administrator may provide that the holder of such award may not exercise such award but instead will receive a payment equal in value to the excess, if any, of (i) the value of the property the participant would have received upon the exercise of the award, over (ii) any exercise price payable by such holder in connection with such exercise.</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Except as otherwise provided in the applicable award agreement, in any other written agreement between a participant and the Company or an</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affiliate, or in any director compensation policy of the Company, in the event that an employee or director’s continuous service is involuntarily terminated without cause (including any such termination due to such employee or director’s death or disability) upon or within 12 months following the effective time of a Transaction, the vesting (and exercisability, if applicable) of any assumed awards (as defined in the Amended 2020 Plan and described below) held by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such employee or director as of the date of such termination will be accelerated in full (and with respect to any such awards that are subject to performance-based vesting conditions or requirements, vesting will be deemed to be satisfied at the greater of (x) the target level of performance or (y) the actual level of performance measured in accordance with the applicable performance goals as of the date of such termination), effective as of the date of such</w:t>
      </w:r>
    </w:p>
    <w:p>
      <w:pPr>
        <w:spacing w:after="0" w:line="2" w:lineRule="exact"/>
        <w:rPr>
          <w:sz w:val="20"/>
          <w:szCs w:val="20"/>
          <w:color w:val="auto"/>
        </w:rPr>
      </w:pPr>
    </w:p>
    <w:p>
      <w:pPr>
        <w:jc w:val="both"/>
        <w:ind w:right="180"/>
        <w:spacing w:after="0" w:line="218" w:lineRule="auto"/>
        <w:rPr>
          <w:sz w:val="20"/>
          <w:szCs w:val="20"/>
          <w:color w:val="auto"/>
        </w:rPr>
      </w:pPr>
      <w:r>
        <w:rPr>
          <w:rFonts w:ascii="Times New Roman" w:cs="Times New Roman" w:eastAsia="Times New Roman" w:hAnsi="Times New Roman"/>
          <w:sz w:val="18"/>
          <w:szCs w:val="18"/>
          <w:color w:val="auto"/>
        </w:rPr>
        <w:t>termination. For purposes of the foregoing, an “assumed award” generally means any outstanding award under the Amended 2020 Plan that was assumed or continued, or any outstanding similar award that was granted in substitution for an award under the Amended 2020 Plan, in each case by the acquiring entity in connection with the applicable Transaction.</w:t>
      </w:r>
    </w:p>
    <w:p>
      <w:pPr>
        <w:spacing w:after="0" w:line="172" w:lineRule="exact"/>
        <w:rPr>
          <w:sz w:val="20"/>
          <w:szCs w:val="20"/>
          <w:color w:val="auto"/>
        </w:rPr>
      </w:pPr>
    </w:p>
    <w:p>
      <w:pPr>
        <w:ind w:right="100" w:firstLine="551"/>
        <w:spacing w:after="0" w:line="216" w:lineRule="auto"/>
        <w:rPr>
          <w:sz w:val="20"/>
          <w:szCs w:val="20"/>
          <w:color w:val="auto"/>
        </w:rPr>
      </w:pPr>
      <w:r>
        <w:rPr>
          <w:rFonts w:ascii="Times New Roman" w:cs="Times New Roman" w:eastAsia="Times New Roman" w:hAnsi="Times New Roman"/>
          <w:sz w:val="18"/>
          <w:szCs w:val="18"/>
          <w:color w:val="auto"/>
        </w:rPr>
        <w:t>Under the Amended 2020 Plan, a “corporate transaction” generally means the consummation of any one or more of the following events: (1) a sale or other disposition of all or substantially all of our assets; (2) a sale or other disposition of at least 90% of our outstanding securities; (3) a merger, consolidation or similar transaction where we do not survive the transaction; or (4) a merger, consolidation or similar transaction where we do survive the</w:t>
      </w:r>
    </w:p>
    <w:p>
      <w:pPr>
        <w:spacing w:after="0" w:line="1"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8"/>
          <w:szCs w:val="18"/>
          <w:color w:val="auto"/>
        </w:rPr>
        <w:t>transaction but the shares of our common stock outstanding immediately before such transaction are converted or exchanged into other property by virtue of the transaction.</w:t>
      </w:r>
    </w:p>
    <w:p>
      <w:pPr>
        <w:spacing w:after="0" w:line="15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Under the Amended 2020 Plan, a “change in control” generally means the occurrence of any one or more of the following events: (1) the</w:t>
      </w:r>
    </w:p>
    <w:p>
      <w:pPr>
        <w:spacing w:after="0" w:line="2"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17"/>
          <w:szCs w:val="17"/>
          <w:color w:val="auto"/>
        </w:rPr>
        <w:t>acquisition by any person, entity or group of our securities representing more than 50% of the combined voting power of our then outstanding securities, other than by virtue of a merger, consolidation, or similar transaction; (2) a merger, consolidation or similar transaction in which our stockholders immediately before such transaction do not own, directly or indirectly, more than 50% of the combined voting power of the surviving entity (or the parent</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of the surviving entity) in substantially the same proportions as their ownership immediately prior to such transaction; (3) our stockholders approve or our Board of Directors approves our complete dissolution or liquidation, or our complete dissolution or liquidation otherwise occurs; (4) a sale, lease, exclusive license or other disposition of all or substantially all of our assets, other than to an entity, more than 50% of the combined voting power of which is owned</w:t>
      </w:r>
    </w:p>
    <w:p>
      <w:pPr>
        <w:spacing w:after="0" w:line="205" w:lineRule="auto"/>
        <w:rPr>
          <w:sz w:val="20"/>
          <w:szCs w:val="20"/>
          <w:color w:val="auto"/>
        </w:rPr>
      </w:pPr>
      <w:r>
        <w:rPr>
          <w:rFonts w:ascii="Times New Roman" w:cs="Times New Roman" w:eastAsia="Times New Roman" w:hAnsi="Times New Roman"/>
          <w:sz w:val="18"/>
          <w:szCs w:val="18"/>
          <w:color w:val="auto"/>
        </w:rPr>
        <w:t>by our stockholders in substantially the same proportions as their ownership of our outstanding voting securities immediately prior to such transaction; or</w:t>
      </w:r>
    </w:p>
    <w:p>
      <w:pPr>
        <w:spacing w:after="0" w:line="1" w:lineRule="exact"/>
        <w:rPr>
          <w:sz w:val="20"/>
          <w:szCs w:val="20"/>
          <w:color w:val="auto"/>
        </w:rPr>
      </w:pPr>
    </w:p>
    <w:p>
      <w:pPr>
        <w:jc w:val="both"/>
        <w:ind w:right="40" w:firstLine="8"/>
        <w:spacing w:after="0" w:line="223"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majority of our Board of Directors becomes comprised of individuals who were not serving on our Board of Directors on the date the 2020 Plan was adopted by our Compensation Committee (the “incumbent Board of Directors”), or whose nomination, appointment, or election was not approved by a majority of the incumbent Board of Directors still in office.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Amendments and Termination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Plan Administrator will have the authority to amend or terminate the Amended 2020 Plan at any time. However, except as otherwise provided</w:t>
      </w:r>
    </w:p>
    <w:p>
      <w:pPr>
        <w:spacing w:after="0" w:line="2" w:lineRule="exact"/>
        <w:rPr>
          <w:sz w:val="20"/>
          <w:szCs w:val="20"/>
          <w:color w:val="auto"/>
        </w:rPr>
      </w:pPr>
    </w:p>
    <w:p>
      <w:pPr>
        <w:ind w:right="340"/>
        <w:spacing w:after="0" w:line="220" w:lineRule="auto"/>
        <w:rPr>
          <w:sz w:val="20"/>
          <w:szCs w:val="20"/>
          <w:color w:val="auto"/>
        </w:rPr>
      </w:pPr>
      <w:r>
        <w:rPr>
          <w:rFonts w:ascii="Times New Roman" w:cs="Times New Roman" w:eastAsia="Times New Roman" w:hAnsi="Times New Roman"/>
          <w:sz w:val="17"/>
          <w:szCs w:val="17"/>
          <w:color w:val="auto"/>
        </w:rPr>
        <w:t>in the Amended 2020 Plan, no amendment or termination of the Amended 2020 Plan may materially impair a participant’s rights under his or her outstanding awards without the participant’s consent. We will obtain stockholder approval of any amendment to the Amended 2020 Plan as required by applicable law and listing requirements. Unless terminated sooner by the Plan Administrator, the Amended 2020 Plan will automatically terminate 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2030, which is the day before the tenth anniversary of the date the 2020 Plan was adopted by our Compensation Committee.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Consequences</w:t>
      </w:r>
    </w:p>
    <w:p>
      <w:pPr>
        <w:spacing w:after="0" w:line="202" w:lineRule="exact"/>
        <w:rPr>
          <w:sz w:val="20"/>
          <w:szCs w:val="20"/>
          <w:color w:val="auto"/>
        </w:rPr>
      </w:pPr>
    </w:p>
    <w:p>
      <w:pPr>
        <w:ind w:right="100" w:firstLine="551"/>
        <w:spacing w:after="0" w:line="216" w:lineRule="auto"/>
        <w:rPr>
          <w:sz w:val="20"/>
          <w:szCs w:val="20"/>
          <w:color w:val="auto"/>
        </w:rPr>
      </w:pPr>
      <w:r>
        <w:rPr>
          <w:rFonts w:ascii="Times New Roman" w:cs="Times New Roman" w:eastAsia="Times New Roman" w:hAnsi="Times New Roman"/>
          <w:sz w:val="18"/>
          <w:szCs w:val="18"/>
          <w:color w:val="auto"/>
        </w:rPr>
        <w:t>The following is a summary of the principal United States federal income tax consequences to participants and us with respect to participation in the Amended 2020 Plan. This summary is not intended to be exhaustive and does not discuss the income tax laws of any local, state or foreign jurisdiction in which a participant may reside. The information is based upon current federal income tax rules and therefore is subject to change when those rules</w:t>
      </w:r>
    </w:p>
    <w:p>
      <w:pPr>
        <w:spacing w:after="0" w:line="1"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change. Because the tax consequences to any participant may depend on his or her particular situation, each participant should consult the participant’s tax adviser regarding the federal, state, local and other tax consequences of the grant or exercise of an award or the disposition of stock acquired under the Amended 2020 Plan. The Amended 2020 Plan is not qualified under the provisions of Section 401(a) of the Internal Revenue Code of 1986, as amended</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(the “Internal Revenue Code”), and is not subject to any of the provisions of the Employee Retirement Income Security Act of 1974, as amended (“ERISA”). Our ability to realize the benefit of any tax deductions described below depends on our generation of taxable income as well as the requirement of reasonableness and the satisfaction of our tax reporting obligations.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Nonstatutory Stock Options</w:t>
      </w:r>
    </w:p>
    <w:p>
      <w:pPr>
        <w:spacing w:after="0" w:line="189" w:lineRule="exact"/>
        <w:rPr>
          <w:sz w:val="20"/>
          <w:szCs w:val="20"/>
          <w:color w:val="auto"/>
        </w:rPr>
      </w:pPr>
    </w:p>
    <w:p>
      <w:pPr>
        <w:ind w:right="220" w:firstLine="551"/>
        <w:spacing w:after="0" w:line="236" w:lineRule="auto"/>
        <w:rPr>
          <w:sz w:val="20"/>
          <w:szCs w:val="20"/>
          <w:color w:val="auto"/>
        </w:rPr>
      </w:pPr>
      <w:r>
        <w:rPr>
          <w:rFonts w:ascii="Times New Roman" w:cs="Times New Roman" w:eastAsia="Times New Roman" w:hAnsi="Times New Roman"/>
          <w:sz w:val="17"/>
          <w:szCs w:val="17"/>
          <w:color w:val="auto"/>
        </w:rPr>
        <w:t>Generally, there is no taxation upon the grant of an NSO if the stock option is granted with an exercise price equal to the fair market value of the underlying stock on the grant date. Upon exercise, a participant will recognize ordinary income equal to the excess, if any, of the fair market value of the</w:t>
      </w:r>
    </w:p>
    <w:p>
      <w:pPr>
        <w:ind w:right="60"/>
        <w:spacing w:after="0" w:line="218" w:lineRule="auto"/>
        <w:rPr>
          <w:sz w:val="20"/>
          <w:szCs w:val="20"/>
          <w:color w:val="auto"/>
        </w:rPr>
      </w:pPr>
      <w:r>
        <w:rPr>
          <w:rFonts w:ascii="Times New Roman" w:cs="Times New Roman" w:eastAsia="Times New Roman" w:hAnsi="Times New Roman"/>
          <w:sz w:val="18"/>
          <w:szCs w:val="18"/>
          <w:color w:val="auto"/>
        </w:rPr>
        <w:t>underlying stock on the date of exercise of the stock option over the exercise price. If the participant is employed by us or one of our affiliates, that income will be subject to withholding taxes. The participant’s tax basis in those shares will be equal to his or her fair market value on the date of exercise of the stock option, and the participant’s capital gain holding period for those shares will begin on that date.</w:t>
      </w:r>
    </w:p>
    <w:p>
      <w:pPr>
        <w:spacing w:after="0" w:line="131" w:lineRule="exact"/>
        <w:rPr>
          <w:sz w:val="20"/>
          <w:szCs w:val="20"/>
          <w:color w:val="auto"/>
        </w:rPr>
      </w:pPr>
    </w:p>
    <w:p>
      <w:pPr>
        <w:jc w:val="both"/>
        <w:ind w:right="40" w:firstLine="551"/>
        <w:spacing w:after="0" w:line="237" w:lineRule="auto"/>
        <w:rPr>
          <w:sz w:val="20"/>
          <w:szCs w:val="20"/>
          <w:color w:val="auto"/>
        </w:rPr>
      </w:pPr>
      <w:r>
        <w:rPr>
          <w:rFonts w:ascii="Times New Roman" w:cs="Times New Roman" w:eastAsia="Times New Roman" w:hAnsi="Times New Roman"/>
          <w:sz w:val="18"/>
          <w:szCs w:val="18"/>
          <w:color w:val="auto"/>
        </w:rPr>
        <w:t>Subject to the requirement of reasonableness, the provisions of Section 162(m) of the Internal Revenue Code, and the satisfaction of a tax reporting obligation, we will generally be entitled to a tax deduction equal to the taxable ordinary income realized by the participant.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Stock Options</w:t>
      </w:r>
    </w:p>
    <w:p>
      <w:pPr>
        <w:spacing w:after="0" w:line="202" w:lineRule="exact"/>
        <w:rPr>
          <w:sz w:val="20"/>
          <w:szCs w:val="20"/>
          <w:color w:val="auto"/>
        </w:rPr>
      </w:pPr>
    </w:p>
    <w:p>
      <w:pPr>
        <w:jc w:val="both"/>
        <w:ind w:right="60" w:firstLine="551"/>
        <w:spacing w:after="0" w:line="229" w:lineRule="auto"/>
        <w:rPr>
          <w:sz w:val="20"/>
          <w:szCs w:val="20"/>
          <w:color w:val="auto"/>
        </w:rPr>
      </w:pPr>
      <w:r>
        <w:rPr>
          <w:rFonts w:ascii="Times New Roman" w:cs="Times New Roman" w:eastAsia="Times New Roman" w:hAnsi="Times New Roman"/>
          <w:sz w:val="17"/>
          <w:szCs w:val="17"/>
          <w:color w:val="auto"/>
        </w:rPr>
        <w:t>The Amended 2020 Plan provides for the grant of stock options that are intended to qualify as “incentive stock options,” as defined in Section 422 of the Internal Revenue Code. Under the Internal Revenue Code, a participant generally is not subject to ordinary income tax upon the grant or exercise of an ISO. If the participant holds a share received upon exercise of an ISO for more than two years from the date the stock option was granted and more than</w:t>
      </w:r>
    </w:p>
    <w:p>
      <w:pPr>
        <w:ind w:right="540"/>
        <w:spacing w:after="0" w:line="226" w:lineRule="auto"/>
        <w:rPr>
          <w:sz w:val="20"/>
          <w:szCs w:val="20"/>
          <w:color w:val="auto"/>
        </w:rPr>
      </w:pPr>
      <w:r>
        <w:rPr>
          <w:rFonts w:ascii="Times New Roman" w:cs="Times New Roman" w:eastAsia="Times New Roman" w:hAnsi="Times New Roman"/>
          <w:sz w:val="18"/>
          <w:szCs w:val="18"/>
          <w:color w:val="auto"/>
        </w:rPr>
        <w:t>one year from the date the stock option was exercised, which is referred to as the required holding period, the difference, if any, between the amount realized on a sale or other taxable disposition of that share and the participant’s tax basis in that share will be long-term capital gain or loss.</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however, a participant disposes of a share acquired upon exercise of an ISO before the end of the required holding period, which is referred to as</w:t>
      </w:r>
    </w:p>
    <w:p>
      <w:pPr>
        <w:spacing w:after="0" w:line="205" w:lineRule="auto"/>
        <w:rPr>
          <w:sz w:val="20"/>
          <w:szCs w:val="20"/>
          <w:color w:val="auto"/>
        </w:rPr>
      </w:pPr>
      <w:r>
        <w:rPr>
          <w:rFonts w:ascii="Times New Roman" w:cs="Times New Roman" w:eastAsia="Times New Roman" w:hAnsi="Times New Roman"/>
          <w:sz w:val="18"/>
          <w:szCs w:val="18"/>
          <w:color w:val="auto"/>
        </w:rPr>
        <w:t>a disqualifying disposition, the participant generally will recognize ordinary income in the year of the disqualifying disposition equal to the excess, if any,</w:t>
      </w:r>
    </w:p>
    <w:p>
      <w:pPr>
        <w:spacing w:after="0" w:line="204" w:lineRule="auto"/>
        <w:rPr>
          <w:sz w:val="20"/>
          <w:szCs w:val="20"/>
          <w:color w:val="auto"/>
        </w:rPr>
      </w:pPr>
      <w:r>
        <w:rPr>
          <w:rFonts w:ascii="Times New Roman" w:cs="Times New Roman" w:eastAsia="Times New Roman" w:hAnsi="Times New Roman"/>
          <w:sz w:val="18"/>
          <w:szCs w:val="18"/>
          <w:color w:val="auto"/>
        </w:rPr>
        <w:t>of the fair market value of the share on the date of exercise of the stock option over the exercise price. However, if the sales proceeds are less than the fair</w:t>
      </w:r>
    </w:p>
    <w:p>
      <w:pPr>
        <w:spacing w:after="0" w:line="219" w:lineRule="auto"/>
        <w:rPr>
          <w:sz w:val="20"/>
          <w:szCs w:val="20"/>
          <w:color w:val="auto"/>
        </w:rPr>
      </w:pPr>
      <w:r>
        <w:rPr>
          <w:rFonts w:ascii="Times New Roman" w:cs="Times New Roman" w:eastAsia="Times New Roman" w:hAnsi="Times New Roman"/>
          <w:sz w:val="18"/>
          <w:szCs w:val="18"/>
          <w:color w:val="auto"/>
        </w:rPr>
        <w:t>market value of the share on the date of exercise of the stock option, the amount of ordinary income recognized by the participant will not exceed the gain,</w:t>
      </w:r>
    </w:p>
    <w:p>
      <w:pPr>
        <w:ind w:right="320"/>
        <w:spacing w:after="0" w:line="226" w:lineRule="auto"/>
        <w:rPr>
          <w:sz w:val="20"/>
          <w:szCs w:val="20"/>
          <w:color w:val="auto"/>
        </w:rPr>
      </w:pPr>
      <w:r>
        <w:rPr>
          <w:rFonts w:ascii="Times New Roman" w:cs="Times New Roman" w:eastAsia="Times New Roman" w:hAnsi="Times New Roman"/>
          <w:sz w:val="18"/>
          <w:szCs w:val="18"/>
          <w:color w:val="auto"/>
        </w:rPr>
        <w:t>if any, realized on the sale. If the amount realized on a disqualifying disposition exceeds the fair market value of the share on the date of exercise of the stock option, that excess will be short-term or long-term capital gain, depending on whether the holding period for the share exceeds one year.</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the alternative minimum tax, the amount by which the fair market value of a share of stock acquired upon exercise of an ISO</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exceeds the exercise price of the stock option generally will be an adjustment included in the participant’s alternative minimum taxable income for the year in which the stock option is exercised. If, however, there is a disqualifying disposition of the share in the year in which the stock option is exercised, there will be no adjustment for alternative minimum tax purposes with respect to that share. In computing alternative minimum taxable income, the tax basis of a</w:t>
      </w:r>
    </w:p>
    <w:p>
      <w:pPr>
        <w:spacing w:after="0" w:line="2"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18"/>
          <w:szCs w:val="18"/>
          <w:color w:val="auto"/>
        </w:rPr>
        <w:t>share acquired upon exercise of an ISO is increased by the amount of the adjustment taken into account with respect to that share for alternative minimum tax purposes in the year the stock option is exercised.</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not allowed a tax deduction with respect to the grant or exercise of an ISO or the disposition of a share acquired upon exercise of an ISO</w:t>
      </w:r>
    </w:p>
    <w:p>
      <w:pPr>
        <w:spacing w:after="0" w:line="2"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18"/>
          <w:szCs w:val="18"/>
          <w:color w:val="auto"/>
        </w:rPr>
        <w:t>after the required holding period. If there is a disqualifying disposition of a share, however, we will generally be entitled to a tax deduction equal to the taxable ordinary income realized by the participant, subject to the requirement of reasonableness, the provisions of Section 162(m) of the Internal Revenue Code, and provided that either the employee includes that amount in income or we timely satisfy our reporting requirements with respect to that amount.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02" w:lineRule="exact"/>
        <w:rPr>
          <w:sz w:val="20"/>
          <w:szCs w:val="20"/>
          <w:color w:val="auto"/>
        </w:rPr>
      </w:pPr>
    </w:p>
    <w:p>
      <w:pPr>
        <w:ind w:right="40" w:firstLine="551"/>
        <w:spacing w:after="0" w:line="216" w:lineRule="auto"/>
        <w:rPr>
          <w:sz w:val="20"/>
          <w:szCs w:val="20"/>
          <w:color w:val="auto"/>
        </w:rPr>
      </w:pPr>
      <w:r>
        <w:rPr>
          <w:rFonts w:ascii="Times New Roman" w:cs="Times New Roman" w:eastAsia="Times New Roman" w:hAnsi="Times New Roman"/>
          <w:sz w:val="18"/>
          <w:szCs w:val="18"/>
          <w:color w:val="auto"/>
        </w:rPr>
        <w:t>Generally, the recipient of a restricted stock award will recognize ordinary income at the time the stock is received equal to the excess, if any, of the fair market value of the stock received over any amount paid by the recipient in exchange for the stock. If, however, the stock is not vested when it is received (for example, if the employee is required to work for a period of time in order to have the right to sell the stock), the recipient generally will not</w:t>
      </w:r>
    </w:p>
    <w:p>
      <w:pPr>
        <w:spacing w:after="0" w:line="1"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recognize income until the stock becomes vested, at which time the recipient will recognize ordinary income equal to the excess, if any, of the fair market value of the stock on the date it becomes vested over any amount paid by the recipient in exchange for the stock. A recipient may, however, file an election with the Internal Revenue Service, within 30 days following his or her receipt of the restricted stock award, to recognize ordinary income, as of the date the</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recipient receives the restricted stock award, equal to the excess, if any, of the fair market value of the stock on the date the restricted stock award is granted over any amount paid by the recipient for the stock.</w:t>
      </w:r>
    </w:p>
    <w:p>
      <w:pPr>
        <w:spacing w:after="0" w:line="157" w:lineRule="exact"/>
        <w:rPr>
          <w:sz w:val="20"/>
          <w:szCs w:val="20"/>
          <w:color w:val="auto"/>
        </w:rPr>
      </w:pPr>
    </w:p>
    <w:p>
      <w:pPr>
        <w:ind w:right="180" w:firstLine="551"/>
        <w:spacing w:after="0" w:line="250" w:lineRule="auto"/>
        <w:rPr>
          <w:sz w:val="20"/>
          <w:szCs w:val="20"/>
          <w:color w:val="auto"/>
        </w:rPr>
      </w:pPr>
      <w:r>
        <w:rPr>
          <w:rFonts w:ascii="Times New Roman" w:cs="Times New Roman" w:eastAsia="Times New Roman" w:hAnsi="Times New Roman"/>
          <w:sz w:val="18"/>
          <w:szCs w:val="18"/>
          <w:color w:val="auto"/>
        </w:rPr>
        <w:t>The recipient’s basis for the determination of gain or loss upon the subsequent disposition of shares acquired from a restricted stock award will be the amount paid for such shares plus any ordinary income recognized either when the stock is received or when the stock becomes vested.</w:t>
      </w:r>
    </w:p>
    <w:p>
      <w:pPr>
        <w:spacing w:after="0" w:line="149" w:lineRule="exact"/>
        <w:rPr>
          <w:sz w:val="20"/>
          <w:szCs w:val="20"/>
          <w:color w:val="auto"/>
        </w:rPr>
      </w:pPr>
    </w:p>
    <w:p>
      <w:pPr>
        <w:ind w:right="60" w:firstLine="551"/>
        <w:spacing w:after="0" w:line="237" w:lineRule="auto"/>
        <w:rPr>
          <w:sz w:val="20"/>
          <w:szCs w:val="20"/>
          <w:color w:val="auto"/>
        </w:rPr>
      </w:pPr>
      <w:r>
        <w:rPr>
          <w:rFonts w:ascii="Times New Roman" w:cs="Times New Roman" w:eastAsia="Times New Roman" w:hAnsi="Times New Roman"/>
          <w:sz w:val="18"/>
          <w:szCs w:val="18"/>
          <w:color w:val="auto"/>
        </w:rPr>
        <w:t>Subject to the requirement of reasonableness, the provisions of Section 162(m) of the Internal Revenue Code, and the satisfaction of a tax reporting obligation, we will generally be entitled to a tax deduction equal to the taxable ordinary income realized by the recipient of the restricted stock award.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p>
    <w:p>
      <w:pPr>
        <w:spacing w:after="0" w:line="189" w:lineRule="exact"/>
        <w:rPr>
          <w:sz w:val="20"/>
          <w:szCs w:val="20"/>
          <w:color w:val="auto"/>
        </w:rPr>
      </w:pPr>
    </w:p>
    <w:p>
      <w:pPr>
        <w:ind w:firstLine="551"/>
        <w:spacing w:after="0" w:line="216" w:lineRule="auto"/>
        <w:rPr>
          <w:sz w:val="20"/>
          <w:szCs w:val="20"/>
          <w:color w:val="auto"/>
        </w:rPr>
      </w:pPr>
      <w:r>
        <w:rPr>
          <w:rFonts w:ascii="Times New Roman" w:cs="Times New Roman" w:eastAsia="Times New Roman" w:hAnsi="Times New Roman"/>
          <w:sz w:val="18"/>
          <w:szCs w:val="18"/>
          <w:color w:val="auto"/>
        </w:rPr>
        <w:t>Generally, the recipient of a restricted stock unit award structured to comply with the requirements of Section 409A of the Internal Revenue Code or an exception to Section 409A of the Internal Revenue Code will recognize ordinary income at the time the stock is delivered equal to the excess, if any, of the fair market value of the stock received over any amount paid by the recipient in exchange for the stock. To comply with the requirements of</w:t>
      </w:r>
    </w:p>
    <w:p>
      <w:pPr>
        <w:spacing w:after="0" w:line="1" w:lineRule="exact"/>
        <w:rPr>
          <w:sz w:val="20"/>
          <w:szCs w:val="20"/>
          <w:color w:val="auto"/>
        </w:rPr>
      </w:pPr>
    </w:p>
    <w:p>
      <w:pPr>
        <w:ind w:right="260"/>
        <w:spacing w:after="0" w:line="208" w:lineRule="auto"/>
        <w:rPr>
          <w:sz w:val="20"/>
          <w:szCs w:val="20"/>
          <w:color w:val="auto"/>
        </w:rPr>
      </w:pPr>
      <w:r>
        <w:rPr>
          <w:rFonts w:ascii="Times New Roman" w:cs="Times New Roman" w:eastAsia="Times New Roman" w:hAnsi="Times New Roman"/>
          <w:sz w:val="18"/>
          <w:szCs w:val="18"/>
          <w:color w:val="auto"/>
        </w:rPr>
        <w:t>Section 409A of the Internal Revenue Code, the stock subject to a restricted stock unit award may generally only be delivered upon one of the following events: a fixed calendar date (or dates), separation from service, death, disability or a change in control. If delivery occurs on another date, unless the restricted stock unit award otherwise complies with or qualifies for an exception to the requirements of Section 409A of the Internal Revenue Code</w:t>
      </w:r>
    </w:p>
    <w:p>
      <w:pPr>
        <w:spacing w:after="0" w:line="2" w:lineRule="exact"/>
        <w:rPr>
          <w:sz w:val="20"/>
          <w:szCs w:val="20"/>
          <w:color w:val="auto"/>
        </w:rPr>
      </w:pPr>
    </w:p>
    <w:p>
      <w:pPr>
        <w:ind w:right="280"/>
        <w:spacing w:after="0" w:line="226" w:lineRule="auto"/>
        <w:rPr>
          <w:sz w:val="20"/>
          <w:szCs w:val="20"/>
          <w:color w:val="auto"/>
        </w:rPr>
      </w:pPr>
      <w:r>
        <w:rPr>
          <w:rFonts w:ascii="Times New Roman" w:cs="Times New Roman" w:eastAsia="Times New Roman" w:hAnsi="Times New Roman"/>
          <w:sz w:val="18"/>
          <w:szCs w:val="18"/>
          <w:color w:val="auto"/>
        </w:rPr>
        <w:t>(including delivery upon achievement of a performance goal), in addition to the tax treatment described above, the recipient will owe an additional 20% federal tax and interest on any taxes owed.</w:t>
      </w:r>
    </w:p>
    <w:p>
      <w:pPr>
        <w:spacing w:after="0" w:line="157" w:lineRule="exact"/>
        <w:rPr>
          <w:sz w:val="20"/>
          <w:szCs w:val="20"/>
          <w:color w:val="auto"/>
        </w:rPr>
      </w:pPr>
    </w:p>
    <w:p>
      <w:pPr>
        <w:ind w:right="80" w:firstLine="551"/>
        <w:spacing w:after="0" w:line="250" w:lineRule="auto"/>
        <w:rPr>
          <w:sz w:val="20"/>
          <w:szCs w:val="20"/>
          <w:color w:val="auto"/>
        </w:rPr>
      </w:pPr>
      <w:r>
        <w:rPr>
          <w:rFonts w:ascii="Times New Roman" w:cs="Times New Roman" w:eastAsia="Times New Roman" w:hAnsi="Times New Roman"/>
          <w:sz w:val="18"/>
          <w:szCs w:val="18"/>
          <w:color w:val="auto"/>
        </w:rPr>
        <w:t>The recipient’s basis for the determination of gain or loss upon the subsequent disposition of shares acquired from a restricted stock unit award will be the amount paid for such shares plus any ordinary income recognized when the stock is delivered.</w:t>
      </w:r>
    </w:p>
    <w:p>
      <w:pPr>
        <w:spacing w:after="0" w:line="149" w:lineRule="exact"/>
        <w:rPr>
          <w:sz w:val="20"/>
          <w:szCs w:val="20"/>
          <w:color w:val="auto"/>
        </w:rPr>
      </w:pPr>
    </w:p>
    <w:p>
      <w:pPr>
        <w:jc w:val="both"/>
        <w:ind w:right="60" w:firstLine="551"/>
        <w:spacing w:after="0" w:line="237" w:lineRule="auto"/>
        <w:rPr>
          <w:sz w:val="20"/>
          <w:szCs w:val="20"/>
          <w:color w:val="auto"/>
        </w:rPr>
      </w:pPr>
      <w:r>
        <w:rPr>
          <w:rFonts w:ascii="Times New Roman" w:cs="Times New Roman" w:eastAsia="Times New Roman" w:hAnsi="Times New Roman"/>
          <w:sz w:val="18"/>
          <w:szCs w:val="18"/>
          <w:color w:val="auto"/>
        </w:rPr>
        <w:t>Subject to the requirement of reasonableness, the provisions of Section 162(m) of the Internal Revenue Code, and the satisfaction of a tax reporting obligation, we will generally be entitled to a tax deduction equal to the taxable ordinary income realized by the recipient of the restricted stock unit award.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189" w:lineRule="exact"/>
        <w:rPr>
          <w:sz w:val="20"/>
          <w:szCs w:val="20"/>
          <w:color w:val="auto"/>
        </w:rPr>
      </w:pPr>
    </w:p>
    <w:p>
      <w:pPr>
        <w:ind w:right="120" w:firstLine="551"/>
        <w:spacing w:after="0" w:line="237" w:lineRule="auto"/>
        <w:rPr>
          <w:sz w:val="20"/>
          <w:szCs w:val="20"/>
          <w:color w:val="auto"/>
        </w:rPr>
      </w:pPr>
      <w:r>
        <w:rPr>
          <w:rFonts w:ascii="Times New Roman" w:cs="Times New Roman" w:eastAsia="Times New Roman" w:hAnsi="Times New Roman"/>
          <w:sz w:val="18"/>
          <w:szCs w:val="18"/>
          <w:color w:val="auto"/>
        </w:rPr>
        <w:t>Generally, if a stock appreciation right is granted with an exercise price equal to the fair market value of the underlying stock on the grant date, the recipient will recognize ordinary income equal to the fair market value of the stock or cash received upon such exercise.</w:t>
      </w:r>
    </w:p>
    <w:p>
      <w:pPr>
        <w:spacing w:after="0" w:line="172" w:lineRule="exact"/>
        <w:rPr>
          <w:sz w:val="20"/>
          <w:szCs w:val="20"/>
          <w:color w:val="auto"/>
        </w:rPr>
      </w:pPr>
    </w:p>
    <w:p>
      <w:pPr>
        <w:ind w:right="60" w:firstLine="551"/>
        <w:spacing w:after="0" w:line="237" w:lineRule="auto"/>
        <w:rPr>
          <w:sz w:val="20"/>
          <w:szCs w:val="20"/>
          <w:color w:val="auto"/>
        </w:rPr>
      </w:pPr>
      <w:r>
        <w:rPr>
          <w:rFonts w:ascii="Times New Roman" w:cs="Times New Roman" w:eastAsia="Times New Roman" w:hAnsi="Times New Roman"/>
          <w:sz w:val="18"/>
          <w:szCs w:val="18"/>
          <w:color w:val="auto"/>
        </w:rPr>
        <w:t>Subject to the requirement of reasonableness, the provisions of Section 162(m) of the Internal Revenue Code, and the satisfaction of a tax reporting obligation, we will generally be entitled to a tax deduction equal to the taxable ordinary income realized by the recipient of the stock appreciation right.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162(m) Limitations</w:t>
      </w:r>
    </w:p>
    <w:p>
      <w:pPr>
        <w:spacing w:after="0" w:line="202" w:lineRule="exact"/>
        <w:rPr>
          <w:sz w:val="20"/>
          <w:szCs w:val="20"/>
          <w:color w:val="auto"/>
        </w:rPr>
      </w:pPr>
    </w:p>
    <w:p>
      <w:pPr>
        <w:ind w:right="180" w:firstLine="551"/>
        <w:spacing w:after="0" w:line="216" w:lineRule="auto"/>
        <w:rPr>
          <w:sz w:val="20"/>
          <w:szCs w:val="20"/>
          <w:color w:val="auto"/>
        </w:rPr>
      </w:pPr>
      <w:r>
        <w:rPr>
          <w:rFonts w:ascii="Times New Roman" w:cs="Times New Roman" w:eastAsia="Times New Roman" w:hAnsi="Times New Roman"/>
          <w:sz w:val="18"/>
          <w:szCs w:val="18"/>
          <w:color w:val="auto"/>
        </w:rPr>
        <w:t>Under Section 162(m) of the Internal Revenue Code, compensation paid to any publicly held corporation’s “covered employees” that exceeds $1 million per taxable year for any covered employee is generally non-deductible. Awards granted under the Amended 2020 Plan will be subject to the deduction limit under Section 162(m) of the Internal Revenue Code and will not be eligible to qualify for the performance-based compensation exception</w:t>
      </w:r>
    </w:p>
    <w:p>
      <w:pPr>
        <w:spacing w:after="0" w:line="1" w:lineRule="exact"/>
        <w:rPr>
          <w:sz w:val="20"/>
          <w:szCs w:val="20"/>
          <w:color w:val="auto"/>
        </w:rPr>
      </w:pPr>
    </w:p>
    <w:p>
      <w:pPr>
        <w:ind w:right="140"/>
        <w:spacing w:after="0" w:line="218" w:lineRule="auto"/>
        <w:rPr>
          <w:sz w:val="20"/>
          <w:szCs w:val="20"/>
          <w:color w:val="auto"/>
        </w:rPr>
      </w:pPr>
      <w:r>
        <w:rPr>
          <w:rFonts w:ascii="Times New Roman" w:cs="Times New Roman" w:eastAsia="Times New Roman" w:hAnsi="Times New Roman"/>
          <w:sz w:val="18"/>
          <w:szCs w:val="18"/>
          <w:color w:val="auto"/>
        </w:rPr>
        <w:t>under Section 162(m) of the Internal Revenue Code pursuant to the transition relief provided by the Tax Cuts and Jobs Act. For further information regarding the deduction limit under Section 162(m) of the Internal Revenue Code and such transition relief, please see the section entitled “Compensation Discussion and Analysis—Tax Considerations—Internal Revenue Code Section 162(m).”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 under the Amended 2020 Plan</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future benefits under the Amended 2020 Plan.</w:t>
      </w:r>
    </w:p>
    <w:p>
      <w:pPr>
        <w:spacing w:after="0" w:line="36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23"/>
        </w:trPr>
        <w:tc>
          <w:tcPr>
            <w:tcW w:w="7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0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Kevin C. Gorman, Ph.D.</w:t>
            </w:r>
          </w:p>
        </w:tc>
        <w:tc>
          <w:tcPr>
            <w:tcW w:w="100" w:type="dxa"/>
            <w:vAlign w:val="bottom"/>
          </w:tcPr>
          <w:p>
            <w:pPr>
              <w:spacing w:after="0"/>
              <w:rPr>
                <w:sz w:val="17"/>
                <w:szCs w:val="17"/>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c>
          <w:tcPr>
            <w:tcW w:w="0" w:type="dxa"/>
            <w:vAlign w:val="bottom"/>
          </w:tcPr>
          <w:p>
            <w:pPr>
              <w:spacing w:after="0"/>
              <w:rPr>
                <w:sz w:val="1"/>
                <w:szCs w:val="1"/>
                <w:color w:val="auto"/>
              </w:rPr>
            </w:pPr>
          </w:p>
        </w:tc>
      </w:tr>
      <w:tr>
        <w:trPr>
          <w:trHeight w:val="216"/>
        </w:trPr>
        <w:tc>
          <w:tcPr>
            <w:tcW w:w="71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Matthew C. Abernethy</w:t>
            </w:r>
          </w:p>
        </w:tc>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168"/>
        </w:trPr>
        <w:tc>
          <w:tcPr>
            <w:tcW w:w="7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Kyle W. Gano, Ph.D.</w:t>
            </w:r>
          </w:p>
        </w:tc>
        <w:tc>
          <w:tcPr>
            <w:tcW w:w="238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Chief Business Development</w:t>
            </w:r>
          </w:p>
        </w:tc>
        <w:tc>
          <w:tcPr>
            <w:tcW w:w="0" w:type="dxa"/>
            <w:vAlign w:val="bottom"/>
          </w:tcPr>
          <w:p>
            <w:pPr>
              <w:spacing w:after="0"/>
              <w:rPr>
                <w:sz w:val="1"/>
                <w:szCs w:val="1"/>
                <w:color w:val="auto"/>
              </w:rPr>
            </w:pPr>
          </w:p>
        </w:tc>
      </w:tr>
      <w:tr>
        <w:trPr>
          <w:trHeight w:val="129"/>
        </w:trPr>
        <w:tc>
          <w:tcPr>
            <w:tcW w:w="7140" w:type="dxa"/>
            <w:vAlign w:val="bottom"/>
            <w:gridSpan w:val="2"/>
            <w:vMerge w:val="continue"/>
          </w:tcPr>
          <w:p>
            <w:pPr>
              <w:spacing w:after="0"/>
              <w:rPr>
                <w:sz w:val="11"/>
                <w:szCs w:val="11"/>
                <w:color w:val="auto"/>
              </w:rPr>
            </w:pPr>
          </w:p>
        </w:tc>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and Strategy Officer</w:t>
            </w:r>
          </w:p>
        </w:tc>
        <w:tc>
          <w:tcPr>
            <w:tcW w:w="0" w:type="dxa"/>
            <w:vAlign w:val="bottom"/>
          </w:tcPr>
          <w:p>
            <w:pPr>
              <w:spacing w:after="0"/>
              <w:rPr>
                <w:sz w:val="1"/>
                <w:szCs w:val="1"/>
                <w:color w:val="auto"/>
              </w:rPr>
            </w:pPr>
          </w:p>
        </w:tc>
      </w:tr>
      <w:tr>
        <w:trPr>
          <w:trHeight w:val="81"/>
        </w:trPr>
        <w:tc>
          <w:tcPr>
            <w:tcW w:w="7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Jude Onyia, Ph.D.</w:t>
            </w:r>
          </w:p>
        </w:tc>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Scientific Officer</w:t>
            </w:r>
          </w:p>
        </w:tc>
        <w:tc>
          <w:tcPr>
            <w:tcW w:w="0" w:type="dxa"/>
            <w:vAlign w:val="bottom"/>
          </w:tcPr>
          <w:p>
            <w:pPr>
              <w:spacing w:after="0"/>
              <w:rPr>
                <w:sz w:val="1"/>
                <w:szCs w:val="1"/>
                <w:color w:val="auto"/>
              </w:rPr>
            </w:pPr>
          </w:p>
        </w:tc>
      </w:tr>
      <w:tr>
        <w:trPr>
          <w:trHeight w:val="216"/>
        </w:trPr>
        <w:tc>
          <w:tcPr>
            <w:tcW w:w="71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Eiry W. Roberts, M.D.</w:t>
            </w:r>
          </w:p>
        </w:tc>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Medical Officer</w:t>
            </w:r>
          </w:p>
        </w:tc>
        <w:tc>
          <w:tcPr>
            <w:tcW w:w="0" w:type="dxa"/>
            <w:vAlign w:val="bottom"/>
          </w:tcPr>
          <w:p>
            <w:pPr>
              <w:spacing w:after="0"/>
              <w:rPr>
                <w:sz w:val="1"/>
                <w:szCs w:val="1"/>
                <w:color w:val="auto"/>
              </w:rPr>
            </w:pPr>
          </w:p>
        </w:tc>
      </w:tr>
      <w:tr>
        <w:trPr>
          <w:trHeight w:val="216"/>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All current executive officers as a group</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All current directors who are not executive officers as a group</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All current employees, including current officers who are not executive officers, as a group</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-921385</wp:posOffset>
            </wp:positionV>
            <wp:extent cx="6772275" cy="2400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72275" cy="24003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-544195</wp:posOffset>
            </wp:positionV>
            <wp:extent cx="6772275"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-269875</wp:posOffset>
            </wp:positionV>
            <wp:extent cx="6772275"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-1204595</wp:posOffset>
            </wp:positionV>
            <wp:extent cx="6772275" cy="145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7227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Number of</w:t>
      </w:r>
    </w:p>
    <w:p>
      <w:pPr>
        <w:spacing w:after="0" w:line="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Shares</w:t>
      </w:r>
    </w:p>
    <w:p>
      <w:pPr>
        <w:spacing w:after="0" w:line="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w:t>
      </w:r>
    </w:p>
    <w:p>
      <w:pPr>
        <w:spacing w:after="0" w:line="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w:t>
      </w:r>
    </w:p>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w:t>
      </w:r>
    </w:p>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w:t>
      </w:r>
    </w:p>
    <w:p>
      <w:pPr>
        <w:spacing w:after="0" w:line="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w:t>
      </w:r>
    </w:p>
    <w:p>
      <w:pPr>
        <w:spacing w:after="0" w:line="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w:t>
      </w:r>
    </w:p>
    <w:p>
      <w:pPr>
        <w:spacing w:after="0" w:line="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(2)</w:t>
      </w:r>
    </w:p>
    <w:p>
      <w:pPr>
        <w:spacing w:after="0" w:line="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w:t>
      </w:r>
    </w:p>
    <w:p>
      <w:pPr>
        <w:spacing w:after="0" w:line="226" w:lineRule="exact"/>
        <w:rPr>
          <w:sz w:val="20"/>
          <w:szCs w:val="20"/>
          <w:color w:val="auto"/>
        </w:rPr>
      </w:pPr>
    </w:p>
    <w:p>
      <w:pPr>
        <w:sectPr>
          <w:pgSz w:w="11900" w:h="16838" w:orient="portrait"/>
          <w:cols w:equalWidth="0" w:num="2">
            <w:col w:w="9820" w:space="280"/>
            <w:col w:w="1240"/>
          </w:cols>
          <w:pgMar w:left="320" w:top="112" w:right="239" w:bottom="1440" w:gutter="0" w:footer="0" w:header="0"/>
        </w:sectPr>
      </w:pPr>
    </w:p>
    <w:p>
      <w:pPr>
        <w:spacing w:after="0" w:line="202" w:lineRule="exact"/>
        <w:rPr>
          <w:sz w:val="20"/>
          <w:szCs w:val="20"/>
          <w:color w:val="auto"/>
        </w:rPr>
      </w:pPr>
    </w:p>
    <w:p>
      <w:pPr>
        <w:ind w:left="580" w:right="220" w:hanging="572"/>
        <w:spacing w:after="0" w:line="231" w:lineRule="auto"/>
        <w:tabs>
          <w:tab w:leader="none" w:pos="57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Awards granted under the Amended 2020 Plan to our executive officers and other employees are discretionary and are not subject to set benefits or amounts under the terms of the Amended 2020 Plan, and the Board of Directors and the Compensation Committee have not granted any awards under the Amended 2020 Plan that are subject to stockholder approval of this Proposal Three. Accordingly, the benefits or amounts that will be received by or allocated to our executive officers and other employees under the Amended 2020 Plan are not determinable.</w:t>
      </w:r>
    </w:p>
    <w:p>
      <w:pPr>
        <w:spacing w:after="0" w:line="14" w:lineRule="exact"/>
        <w:rPr>
          <w:rFonts w:ascii="Times New Roman" w:cs="Times New Roman" w:eastAsia="Times New Roman" w:hAnsi="Times New Roman"/>
          <w:sz w:val="14"/>
          <w:szCs w:val="14"/>
          <w:color w:val="auto"/>
        </w:rPr>
      </w:pPr>
    </w:p>
    <w:p>
      <w:pPr>
        <w:ind w:left="580" w:right="120" w:hanging="572"/>
        <w:spacing w:after="0" w:line="221" w:lineRule="auto"/>
        <w:tabs>
          <w:tab w:leader="none" w:pos="57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Awards granted under the Amended 2020 Plan to our non-employee directors are discretionary and are not subject to set benefits or amounts under the terms of the Amended 2020 Plan, and the Board of Directors and the Compensation Committee have not granted any awards under the Amended 2020 Plan that are subject to stockholder approval of this Proposal Three. However, pursuant to our current equity compensation program for non-employee directors, each of our current non-employee directors are granted annual awards in the form of a stock option, a restricted stock unit award, or a stock option and a restricted stock unit award, depending on each individual’s election, on the date of each of our annual meetings of stockholders, provided that such individual is a non-employee director on such date and will be continuing as a non-employee director following such date. The total dollar value of each non-employee director’s annual awards in 2024 will be $400,000. The number of shares of our common stock subject to each such award will be based on the valuation methodology established by the Board, which is in part based on the fair market value of our common stock on the grant date and, therefore, is not determinable at this time. On and after the date of the Annual Meeting, any such awards will be granted under the Amended 2020 Plan if this Proposal Three is approved by our stockholders. For additional information regarding our equity compensation program for non-employee directors, see the “Directors Compensation Summary” section above.</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Benefits under the 2020 Plan</w:t>
      </w:r>
    </w:p>
    <w:p>
      <w:pPr>
        <w:spacing w:after="0" w:line="189" w:lineRule="exact"/>
        <w:rPr>
          <w:sz w:val="20"/>
          <w:szCs w:val="20"/>
          <w:color w:val="auto"/>
        </w:rPr>
      </w:pPr>
    </w:p>
    <w:p>
      <w:pPr>
        <w:ind w:right="280" w:firstLine="551"/>
        <w:spacing w:after="0" w:line="237" w:lineRule="auto"/>
        <w:rPr>
          <w:sz w:val="20"/>
          <w:szCs w:val="20"/>
          <w:color w:val="auto"/>
        </w:rPr>
      </w:pPr>
      <w:r>
        <w:rPr>
          <w:rFonts w:ascii="Times New Roman" w:cs="Times New Roman" w:eastAsia="Times New Roman" w:hAnsi="Times New Roman"/>
          <w:sz w:val="18"/>
          <w:szCs w:val="18"/>
          <w:color w:val="auto"/>
        </w:rPr>
        <w:t>The following table sets forth, for each of the individuals and various groups indicated, the total number of shares of our common stock subject to awards that have been granted (even if not currently outstanding) under the 2020 Plan as of the Record Date.</w:t>
      </w:r>
    </w:p>
    <w:p>
      <w:pPr>
        <w:spacing w:after="0" w:line="20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96"/>
        </w:trPr>
        <w:tc>
          <w:tcPr>
            <w:tcW w:w="7260" w:type="dxa"/>
            <w:vAlign w:val="bottom"/>
            <w:gridSpan w:val="2"/>
            <w:vMerge w:val="continue"/>
          </w:tcPr>
          <w:p>
            <w:pPr>
              <w:spacing w:after="0"/>
              <w:rPr>
                <w:sz w:val="17"/>
                <w:szCs w:val="17"/>
                <w:color w:val="auto"/>
              </w:rPr>
            </w:pPr>
          </w:p>
        </w:tc>
        <w:tc>
          <w:tcPr>
            <w:tcW w:w="2480" w:type="dxa"/>
            <w:vAlign w:val="bottom"/>
            <w:gridSpan w:val="2"/>
            <w:vMerge w:val="continue"/>
          </w:tcPr>
          <w:p>
            <w:pPr>
              <w:spacing w:after="0"/>
              <w:rPr>
                <w:sz w:val="17"/>
                <w:szCs w:val="17"/>
                <w:color w:val="auto"/>
              </w:rPr>
            </w:pPr>
          </w:p>
        </w:tc>
        <w:tc>
          <w:tcPr>
            <w:tcW w:w="104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16"/>
        </w:trPr>
        <w:tc>
          <w:tcPr>
            <w:tcW w:w="7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Kevin C. Gorman, Ph.D.</w:t>
            </w:r>
          </w:p>
        </w:tc>
        <w:tc>
          <w:tcPr>
            <w:tcW w:w="10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714,432</w:t>
            </w:r>
          </w:p>
        </w:tc>
        <w:tc>
          <w:tcPr>
            <w:tcW w:w="0" w:type="dxa"/>
            <w:vAlign w:val="bottom"/>
          </w:tcPr>
          <w:p>
            <w:pPr>
              <w:spacing w:after="0"/>
              <w:rPr>
                <w:sz w:val="1"/>
                <w:szCs w:val="1"/>
                <w:color w:val="auto"/>
              </w:rPr>
            </w:pPr>
          </w:p>
        </w:tc>
      </w:tr>
      <w:tr>
        <w:trPr>
          <w:trHeight w:val="213"/>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Matthew C. Abernethy</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291,523</w:t>
            </w:r>
          </w:p>
        </w:tc>
        <w:tc>
          <w:tcPr>
            <w:tcW w:w="0" w:type="dxa"/>
            <w:vAlign w:val="bottom"/>
          </w:tcPr>
          <w:p>
            <w:pPr>
              <w:spacing w:after="0"/>
              <w:rPr>
                <w:sz w:val="1"/>
                <w:szCs w:val="1"/>
                <w:color w:val="auto"/>
              </w:rPr>
            </w:pPr>
          </w:p>
        </w:tc>
      </w:tr>
      <w:tr>
        <w:trPr>
          <w:trHeight w:val="165"/>
        </w:trPr>
        <w:tc>
          <w:tcPr>
            <w:tcW w:w="72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Kyle W. Gano, Ph.D.</w:t>
            </w:r>
          </w:p>
        </w:tc>
        <w:tc>
          <w:tcPr>
            <w:tcW w:w="24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Chief Business Development and</w:t>
            </w:r>
          </w:p>
        </w:tc>
        <w:tc>
          <w:tcPr>
            <w:tcW w:w="104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306,842</w:t>
            </w:r>
          </w:p>
        </w:tc>
        <w:tc>
          <w:tcPr>
            <w:tcW w:w="0" w:type="dxa"/>
            <w:vAlign w:val="bottom"/>
          </w:tcPr>
          <w:p>
            <w:pPr>
              <w:spacing w:after="0"/>
              <w:rPr>
                <w:sz w:val="1"/>
                <w:szCs w:val="1"/>
                <w:color w:val="auto"/>
              </w:rPr>
            </w:pPr>
          </w:p>
        </w:tc>
      </w:tr>
      <w:tr>
        <w:trPr>
          <w:trHeight w:val="129"/>
        </w:trPr>
        <w:tc>
          <w:tcPr>
            <w:tcW w:w="7260" w:type="dxa"/>
            <w:vAlign w:val="bottom"/>
            <w:gridSpan w:val="2"/>
            <w:vMerge w:val="continue"/>
            <w:shd w:val="clear" w:color="auto" w:fill="CCEEFF"/>
          </w:tcPr>
          <w:p>
            <w:pPr>
              <w:spacing w:after="0"/>
              <w:rPr>
                <w:sz w:val="11"/>
                <w:szCs w:val="11"/>
                <w:color w:val="auto"/>
              </w:rPr>
            </w:pPr>
          </w:p>
        </w:tc>
        <w:tc>
          <w:tcPr>
            <w:tcW w:w="24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Strategy Officer</w:t>
            </w:r>
          </w:p>
        </w:tc>
        <w:tc>
          <w:tcPr>
            <w:tcW w:w="10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7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80" w:type="dxa"/>
            <w:vAlign w:val="bottom"/>
            <w:gridSpan w:val="2"/>
            <w:vMerge w:val="continue"/>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Jude Onyia, Ph.D.</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Chief Scientific Officer</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337,360</w:t>
            </w:r>
          </w:p>
        </w:tc>
        <w:tc>
          <w:tcPr>
            <w:tcW w:w="0" w:type="dxa"/>
            <w:vAlign w:val="bottom"/>
          </w:tcPr>
          <w:p>
            <w:pPr>
              <w:spacing w:after="0"/>
              <w:rPr>
                <w:sz w:val="1"/>
                <w:szCs w:val="1"/>
                <w:color w:val="auto"/>
              </w:rPr>
            </w:pPr>
          </w:p>
        </w:tc>
      </w:tr>
      <w:tr>
        <w:trPr>
          <w:trHeight w:val="219"/>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Eiry W. Roberts, M.D.</w:t>
            </w:r>
          </w:p>
        </w:tc>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Chief Medical Officer</w:t>
            </w: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276,450</w:t>
            </w:r>
          </w:p>
        </w:tc>
        <w:tc>
          <w:tcPr>
            <w:tcW w:w="0" w:type="dxa"/>
            <w:vAlign w:val="bottom"/>
          </w:tcPr>
          <w:p>
            <w:pPr>
              <w:spacing w:after="0"/>
              <w:rPr>
                <w:sz w:val="1"/>
                <w:szCs w:val="1"/>
                <w:color w:val="auto"/>
              </w:rPr>
            </w:pPr>
          </w:p>
        </w:tc>
      </w:tr>
      <w:tr>
        <w:trPr>
          <w:trHeight w:val="213"/>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All current executive officers as a group</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3,029,527</w:t>
            </w:r>
          </w:p>
        </w:tc>
        <w:tc>
          <w:tcPr>
            <w:tcW w:w="0" w:type="dxa"/>
            <w:vAlign w:val="bottom"/>
          </w:tcPr>
          <w:p>
            <w:pPr>
              <w:spacing w:after="0"/>
              <w:rPr>
                <w:sz w:val="1"/>
                <w:szCs w:val="1"/>
                <w:color w:val="auto"/>
              </w:rPr>
            </w:pPr>
          </w:p>
        </w:tc>
      </w:tr>
      <w:tr>
        <w:trPr>
          <w:trHeight w:val="219"/>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current directors who are not executive officers as a group</w:t>
            </w:r>
          </w:p>
        </w:tc>
        <w:tc>
          <w:tcPr>
            <w:tcW w:w="2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228,747</w:t>
            </w:r>
          </w:p>
        </w:tc>
        <w:tc>
          <w:tcPr>
            <w:tcW w:w="0" w:type="dxa"/>
            <w:vAlign w:val="bottom"/>
          </w:tcPr>
          <w:p>
            <w:pPr>
              <w:spacing w:after="0"/>
              <w:rPr>
                <w:sz w:val="1"/>
                <w:szCs w:val="1"/>
                <w:color w:val="auto"/>
              </w:rPr>
            </w:pPr>
          </w:p>
        </w:tc>
      </w:tr>
      <w:tr>
        <w:trPr>
          <w:trHeight w:val="213"/>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Each nominee for election as a director:</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William H. Rastetter, Ph.D.</w:t>
            </w:r>
          </w:p>
        </w:tc>
        <w:tc>
          <w:tcPr>
            <w:tcW w:w="2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27,136</w:t>
            </w:r>
          </w:p>
        </w:tc>
        <w:tc>
          <w:tcPr>
            <w:tcW w:w="0" w:type="dxa"/>
            <w:vAlign w:val="bottom"/>
          </w:tcPr>
          <w:p>
            <w:pPr>
              <w:spacing w:after="0"/>
              <w:rPr>
                <w:sz w:val="1"/>
                <w:szCs w:val="1"/>
                <w:color w:val="auto"/>
              </w:rPr>
            </w:pPr>
          </w:p>
        </w:tc>
      </w:tr>
      <w:tr>
        <w:trPr>
          <w:trHeight w:val="213"/>
        </w:trPr>
        <w:tc>
          <w:tcPr>
            <w:tcW w:w="72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George J. Morrow</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22,756</w:t>
            </w:r>
          </w:p>
        </w:tc>
        <w:tc>
          <w:tcPr>
            <w:tcW w:w="0" w:type="dxa"/>
            <w:vAlign w:val="bottom"/>
          </w:tcPr>
          <w:p>
            <w:pPr>
              <w:spacing w:after="0"/>
              <w:rPr>
                <w:sz w:val="1"/>
                <w:szCs w:val="1"/>
                <w:color w:val="auto"/>
              </w:rPr>
            </w:pPr>
          </w:p>
        </w:tc>
      </w:tr>
      <w:tr>
        <w:trPr>
          <w:trHeight w:val="219"/>
        </w:trPr>
        <w:tc>
          <w:tcPr>
            <w:tcW w:w="72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Leslie V. Norwalk</w:t>
            </w:r>
          </w:p>
        </w:tc>
        <w:tc>
          <w:tcPr>
            <w:tcW w:w="2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24,947</w:t>
            </w:r>
          </w:p>
        </w:tc>
        <w:tc>
          <w:tcPr>
            <w:tcW w:w="0" w:type="dxa"/>
            <w:vAlign w:val="bottom"/>
          </w:tcPr>
          <w:p>
            <w:pPr>
              <w:spacing w:after="0"/>
              <w:rPr>
                <w:sz w:val="1"/>
                <w:szCs w:val="1"/>
                <w:color w:val="auto"/>
              </w:rPr>
            </w:pPr>
          </w:p>
        </w:tc>
      </w:tr>
      <w:tr>
        <w:trPr>
          <w:trHeight w:val="213"/>
        </w:trPr>
        <w:tc>
          <w:tcPr>
            <w:tcW w:w="72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Christine A. Poon</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16,375</w:t>
            </w:r>
          </w:p>
        </w:tc>
        <w:tc>
          <w:tcPr>
            <w:tcW w:w="0" w:type="dxa"/>
            <w:vAlign w:val="bottom"/>
          </w:tcPr>
          <w:p>
            <w:pPr>
              <w:spacing w:after="0"/>
              <w:rPr>
                <w:sz w:val="1"/>
                <w:szCs w:val="1"/>
                <w:color w:val="auto"/>
              </w:rPr>
            </w:pPr>
          </w:p>
        </w:tc>
      </w:tr>
      <w:tr>
        <w:trPr>
          <w:trHeight w:val="219"/>
        </w:trPr>
        <w:tc>
          <w:tcPr>
            <w:tcW w:w="7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Each associate of any executive officers, current directors or director nominees</w:t>
            </w:r>
          </w:p>
        </w:tc>
        <w:tc>
          <w:tcPr>
            <w:tcW w:w="2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Each other person who received or is to receive 5% of purchase rights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current employees, including all current officers who are not executive officers, as a group</w:t>
            </w:r>
          </w:p>
        </w:tc>
        <w:tc>
          <w:tcPr>
            <w:tcW w:w="2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11,388,239</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w:t>
      </w:r>
    </w:p>
    <w:p>
      <w:pPr>
        <w:spacing w:after="0" w:line="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A VOTE “FOR” PROPOSAL THREE</w:t>
      </w:r>
    </w:p>
    <w:p>
      <w:pPr>
        <w:sectPr>
          <w:pgSz w:w="11900" w:h="16838" w:orient="portrait"/>
          <w:cols w:equalWidth="0" w:num="1">
            <w:col w:w="11340"/>
          </w:cols>
          <w:pgMar w:left="320" w:top="11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2" w:right="2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regarding all of the Company’s equity compensation plans as of December 31, 2023:</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6"/>
        </w:trPr>
        <w:tc>
          <w:tcPr>
            <w:tcW w:w="5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80" w:type="dxa"/>
            <w:vAlign w:val="bottom"/>
          </w:tcPr>
          <w:p>
            <w:pPr>
              <w:spacing w:after="0"/>
              <w:rPr>
                <w:sz w:val="12"/>
                <w:szCs w:val="12"/>
                <w:color w:val="auto"/>
              </w:rPr>
            </w:pPr>
          </w:p>
        </w:tc>
        <w:tc>
          <w:tcPr>
            <w:tcW w:w="1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8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37"/>
        </w:trPr>
        <w:tc>
          <w:tcPr>
            <w:tcW w:w="5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8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8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6"/>
        </w:trPr>
        <w:tc>
          <w:tcPr>
            <w:tcW w:w="5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80" w:type="dxa"/>
            <w:vAlign w:val="bottom"/>
          </w:tcPr>
          <w:p>
            <w:pPr>
              <w:spacing w:after="0"/>
              <w:rPr>
                <w:sz w:val="12"/>
                <w:szCs w:val="12"/>
                <w:color w:val="auto"/>
              </w:rPr>
            </w:pPr>
          </w:p>
        </w:tc>
        <w:tc>
          <w:tcPr>
            <w:tcW w:w="17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8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2"/>
                <w:szCs w:val="12"/>
                <w:color w:val="auto"/>
              </w:rPr>
            </w:pPr>
          </w:p>
        </w:tc>
        <w:tc>
          <w:tcPr>
            <w:tcW w:w="1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37"/>
        </w:trPr>
        <w:tc>
          <w:tcPr>
            <w:tcW w:w="5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80" w:type="dxa"/>
            <w:vAlign w:val="bottom"/>
          </w:tcPr>
          <w:p>
            <w:pPr>
              <w:spacing w:after="0"/>
              <w:rPr>
                <w:sz w:val="11"/>
                <w:szCs w:val="11"/>
                <w:color w:val="auto"/>
              </w:rPr>
            </w:pPr>
          </w:p>
        </w:tc>
        <w:tc>
          <w:tcPr>
            <w:tcW w:w="174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8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6"/>
        </w:trPr>
        <w:tc>
          <w:tcPr>
            <w:tcW w:w="5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80" w:type="dxa"/>
            <w:vAlign w:val="bottom"/>
          </w:tcPr>
          <w:p>
            <w:pPr>
              <w:spacing w:after="0"/>
              <w:rPr>
                <w:sz w:val="12"/>
                <w:szCs w:val="12"/>
                <w:color w:val="auto"/>
              </w:rPr>
            </w:pPr>
          </w:p>
        </w:tc>
        <w:tc>
          <w:tcPr>
            <w:tcW w:w="17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18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96"/>
        </w:trPr>
        <w:tc>
          <w:tcPr>
            <w:tcW w:w="5820" w:type="dxa"/>
            <w:vAlign w:val="bottom"/>
            <w:gridSpan w:val="2"/>
            <w:vMerge w:val="continue"/>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80" w:type="dxa"/>
            <w:vAlign w:val="bottom"/>
          </w:tcPr>
          <w:p>
            <w:pPr>
              <w:spacing w:after="0"/>
              <w:rPr>
                <w:sz w:val="17"/>
                <w:szCs w:val="17"/>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 (3)</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16"/>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 by security holders (1)</w:t>
            </w: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12,463,037</w:t>
            </w:r>
          </w:p>
        </w:tc>
        <w:tc>
          <w:tcPr>
            <w:tcW w:w="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rPr>
              <w:t>$84.51</w:t>
            </w:r>
          </w:p>
        </w:tc>
        <w:tc>
          <w:tcPr>
            <w:tcW w:w="8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10,985,754</w:t>
            </w:r>
          </w:p>
        </w:tc>
        <w:tc>
          <w:tcPr>
            <w:tcW w:w="0" w:type="dxa"/>
            <w:vAlign w:val="bottom"/>
          </w:tcPr>
          <w:p>
            <w:pPr>
              <w:spacing w:after="0"/>
              <w:rPr>
                <w:sz w:val="1"/>
                <w:szCs w:val="1"/>
                <w:color w:val="auto"/>
              </w:rPr>
            </w:pPr>
          </w:p>
        </w:tc>
      </w:tr>
      <w:tr>
        <w:trPr>
          <w:trHeight w:val="213"/>
        </w:trPr>
        <w:tc>
          <w:tcPr>
            <w:tcW w:w="5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 (2)</w:t>
            </w:r>
          </w:p>
        </w:tc>
        <w:tc>
          <w:tcPr>
            <w:tcW w:w="16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6"/>
                <w:szCs w:val="16"/>
                <w:color w:val="auto"/>
              </w:rPr>
              <w:t>50,140</w:t>
            </w:r>
          </w:p>
        </w:tc>
        <w:tc>
          <w:tcPr>
            <w:tcW w:w="1740" w:type="dxa"/>
            <w:vAlign w:val="bottom"/>
            <w:tcBorders>
              <w:bottom w:val="single" w:sz="8" w:color="CCEEFF"/>
            </w:tcBorders>
            <w:gridSpan w:val="2"/>
          </w:tcPr>
          <w:p>
            <w:pPr>
              <w:jc w:val="right"/>
              <w:ind w:right="27"/>
              <w:spacing w:after="0"/>
              <w:rPr>
                <w:sz w:val="20"/>
                <w:szCs w:val="20"/>
                <w:color w:val="auto"/>
              </w:rPr>
            </w:pPr>
            <w:r>
              <w:rPr>
                <w:rFonts w:ascii="Times New Roman" w:cs="Times New Roman" w:eastAsia="Times New Roman" w:hAnsi="Times New Roman"/>
                <w:sz w:val="16"/>
                <w:szCs w:val="16"/>
                <w:color w:val="auto"/>
              </w:rPr>
              <w:t>$74.03</w:t>
            </w:r>
          </w:p>
        </w:tc>
        <w:tc>
          <w:tcPr>
            <w:tcW w:w="8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6"/>
                <w:szCs w:val="16"/>
                <w:color w:val="auto"/>
              </w:rPr>
              <w:t>55,182</w:t>
            </w:r>
          </w:p>
        </w:tc>
        <w:tc>
          <w:tcPr>
            <w:tcW w:w="0" w:type="dxa"/>
            <w:vAlign w:val="bottom"/>
          </w:tcPr>
          <w:p>
            <w:pPr>
              <w:spacing w:after="0"/>
              <w:rPr>
                <w:sz w:val="1"/>
                <w:szCs w:val="1"/>
                <w:color w:val="auto"/>
              </w:rPr>
            </w:pPr>
          </w:p>
        </w:tc>
      </w:tr>
      <w:tr>
        <w:trPr>
          <w:trHeight w:val="212"/>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12,513,177</w:t>
            </w:r>
          </w:p>
        </w:tc>
        <w:tc>
          <w:tcPr>
            <w:tcW w:w="174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rPr>
              <w:t>$84.46</w:t>
            </w:r>
          </w:p>
        </w:tc>
        <w:tc>
          <w:tcPr>
            <w:tcW w:w="8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11,040,936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6" w:lineRule="exact"/>
        <w:rPr>
          <w:sz w:val="20"/>
          <w:szCs w:val="20"/>
          <w:color w:val="auto"/>
        </w:rPr>
      </w:pPr>
    </w:p>
    <w:p>
      <w:pPr>
        <w:ind w:left="580" w:right="20" w:hanging="572"/>
        <w:spacing w:after="0" w:line="231" w:lineRule="auto"/>
        <w:tabs>
          <w:tab w:leader="none" w:pos="57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securities remaining available for future issuance under equity compensation plans approved by security holders as of December 31, 2023 are from the 2020 Plan and the Neurocrine Biosciences, Inc. 2018 Employee Stock Purchase Plan (the "ESPP"). The shares available for issuance under the 2020 Plan may be issued in the form of incentive stock options, nonstatutory stock options, stock appreciation rights, restricted stock awards, restricted stock unit awards, performance awards, and other awards, subject to limitations set forth in the 2020 Plan. The ESPP had 460,579 shares remaining available for future issuance, which are included under column (c).</w:t>
      </w:r>
    </w:p>
    <w:p>
      <w:pPr>
        <w:spacing w:after="0" w:line="14" w:lineRule="exact"/>
        <w:rPr>
          <w:rFonts w:ascii="Times New Roman" w:cs="Times New Roman" w:eastAsia="Times New Roman" w:hAnsi="Times New Roman"/>
          <w:sz w:val="14"/>
          <w:szCs w:val="14"/>
          <w:color w:val="auto"/>
        </w:rPr>
      </w:pPr>
    </w:p>
    <w:p>
      <w:pPr>
        <w:ind w:left="580" w:right="220" w:hanging="572"/>
        <w:spacing w:after="0" w:line="241" w:lineRule="auto"/>
        <w:tabs>
          <w:tab w:leader="none" w:pos="57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stock options and restricted stock unit awards that were issued to certain employees under the Neurocrine Biosciences, Inc. Inducement Plan, which was not approved by security holders. These stock option grants have a four-year vesting period and the restricted stock unit awards generally have vesting periods of three to four years.</w:t>
      </w:r>
    </w:p>
    <w:p>
      <w:pPr>
        <w:spacing w:after="0" w:line="14" w:lineRule="exact"/>
        <w:rPr>
          <w:rFonts w:ascii="Times New Roman" w:cs="Times New Roman" w:eastAsia="Times New Roman" w:hAnsi="Times New Roman"/>
          <w:sz w:val="14"/>
          <w:szCs w:val="14"/>
          <w:color w:val="auto"/>
        </w:rPr>
      </w:pPr>
    </w:p>
    <w:p>
      <w:pPr>
        <w:ind w:left="560" w:hanging="552"/>
        <w:spacing w:after="0"/>
        <w:tabs>
          <w:tab w:leader="none" w:pos="5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exercise price excludes restricted stock unit awards, which have no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PROPOSAL FOUR: RATIFICATION OF APPOINTMENT OF</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Audit Committee has selected Ernst &amp; Young LLP to audit the financial statements of the Company for the current fiscal year ending</w:t>
      </w:r>
    </w:p>
    <w:p>
      <w:pPr>
        <w:spacing w:after="0" w:line="2" w:lineRule="exact"/>
        <w:rPr>
          <w:sz w:val="20"/>
          <w:szCs w:val="20"/>
          <w:color w:val="auto"/>
        </w:rPr>
      </w:pPr>
    </w:p>
    <w:p>
      <w:pPr>
        <w:ind w:right="80"/>
        <w:spacing w:after="0" w:line="218" w:lineRule="auto"/>
        <w:rPr>
          <w:sz w:val="20"/>
          <w:szCs w:val="20"/>
          <w:color w:val="auto"/>
        </w:rPr>
      </w:pPr>
      <w:r>
        <w:rPr>
          <w:rFonts w:ascii="Times New Roman" w:cs="Times New Roman" w:eastAsia="Times New Roman" w:hAnsi="Times New Roman"/>
          <w:sz w:val="18"/>
          <w:szCs w:val="18"/>
          <w:color w:val="auto"/>
        </w:rPr>
        <w:t>December 31, 2024. Ernst &amp; Young LLP has audited the Company’s financial statements since 1992. Representatives of Ernst &amp; Young LLP are expected to be present at the Annual Meeting, will have the opportunity to make a statement if they so desire, and are expected to be available to respond to appropriate questions.</w:t>
      </w:r>
    </w:p>
    <w:p>
      <w:pPr>
        <w:spacing w:after="0" w:line="172" w:lineRule="exact"/>
        <w:rPr>
          <w:sz w:val="20"/>
          <w:szCs w:val="20"/>
          <w:color w:val="auto"/>
        </w:rPr>
      </w:pPr>
    </w:p>
    <w:p>
      <w:pPr>
        <w:ind w:firstLine="551"/>
        <w:spacing w:after="0" w:line="229" w:lineRule="auto"/>
        <w:rPr>
          <w:sz w:val="20"/>
          <w:szCs w:val="20"/>
          <w:color w:val="auto"/>
        </w:rPr>
      </w:pPr>
      <w:r>
        <w:rPr>
          <w:rFonts w:ascii="Times New Roman" w:cs="Times New Roman" w:eastAsia="Times New Roman" w:hAnsi="Times New Roman"/>
          <w:sz w:val="17"/>
          <w:szCs w:val="17"/>
          <w:color w:val="auto"/>
        </w:rPr>
        <w:t>Stockholders are not required to ratify the selection of Ernst &amp; Young LLP as the Company’s independent registered public accounting firm. However, the Audit Committee is submitting the selection of Ernst &amp; Young LLP to the stockholders for ratification as a matter of good corporate practice. If the stockholders fail to ratify the selection, the Audit Committee will reconsider whether or not to retain that firm. Even if the selection is ratified, the</w:t>
      </w:r>
    </w:p>
    <w:p>
      <w:pPr>
        <w:ind w:right="20"/>
        <w:spacing w:after="0" w:line="226" w:lineRule="auto"/>
        <w:rPr>
          <w:sz w:val="20"/>
          <w:szCs w:val="20"/>
          <w:color w:val="auto"/>
        </w:rPr>
      </w:pPr>
      <w:r>
        <w:rPr>
          <w:rFonts w:ascii="Times New Roman" w:cs="Times New Roman" w:eastAsia="Times New Roman" w:hAnsi="Times New Roman"/>
          <w:sz w:val="18"/>
          <w:szCs w:val="18"/>
          <w:color w:val="auto"/>
        </w:rPr>
        <w:t>Audit Committee in their discretion may direct the selection of a different independent registered public accounting firm at any time during the year if they determine that such a change would be in the best interests of the Company and its stockholders.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02" w:lineRule="exact"/>
        <w:rPr>
          <w:sz w:val="20"/>
          <w:szCs w:val="20"/>
          <w:color w:val="auto"/>
        </w:rPr>
      </w:pPr>
    </w:p>
    <w:p>
      <w:pPr>
        <w:jc w:val="both"/>
        <w:ind w:right="140" w:firstLine="551"/>
        <w:spacing w:after="0" w:line="220" w:lineRule="auto"/>
        <w:rPr>
          <w:sz w:val="20"/>
          <w:szCs w:val="20"/>
          <w:color w:val="auto"/>
        </w:rPr>
      </w:pPr>
      <w:r>
        <w:rPr>
          <w:rFonts w:ascii="Times New Roman" w:cs="Times New Roman" w:eastAsia="Times New Roman" w:hAnsi="Times New Roman"/>
          <w:sz w:val="18"/>
          <w:szCs w:val="18"/>
          <w:color w:val="auto"/>
        </w:rPr>
        <w:t xml:space="preserve">The affirmative vote of the holders of a majority of the shares represented in person or by proxy at the Annual Meeting and entitled to vote on the item will be required to approve and ratify the Audit Committee’s selection of Ernst &amp; Young LLP. </w:t>
      </w:r>
      <w:r>
        <w:rPr>
          <w:rFonts w:ascii="Times New Roman" w:cs="Times New Roman" w:eastAsia="Times New Roman" w:hAnsi="Times New Roman"/>
          <w:sz w:val="18"/>
          <w:szCs w:val="18"/>
          <w:b w:val="1"/>
          <w:bCs w:val="1"/>
          <w:color w:val="auto"/>
        </w:rPr>
        <w:t>The Board of Directors unanimously recommends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voting “FOR” approval and ratification of such selection. </w:t>
      </w:r>
      <w:r>
        <w:rPr>
          <w:rFonts w:ascii="Times New Roman" w:cs="Times New Roman" w:eastAsia="Times New Roman" w:hAnsi="Times New Roman"/>
          <w:sz w:val="18"/>
          <w:szCs w:val="18"/>
          <w:color w:val="auto"/>
        </w:rPr>
        <w:t>In the event of a negative vote on such ratification, the Audit Committee will reconsider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selection.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and other management team members as of the Record Date:</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4900" w:type="dxa"/>
            <w:vAlign w:val="bottom"/>
          </w:tcPr>
          <w:p>
            <w:pPr>
              <w:ind w:left="22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4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0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Kevin C. Gorman, Ph.D.</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66</w:t>
            </w:r>
          </w:p>
        </w:tc>
        <w:tc>
          <w:tcPr>
            <w:tcW w:w="80" w:type="dxa"/>
            <w:vAlign w:val="bottom"/>
            <w:shd w:val="clear" w:color="auto" w:fill="CCEEFF"/>
          </w:tcPr>
          <w:p>
            <w:pPr>
              <w:spacing w:after="0"/>
              <w:rPr>
                <w:sz w:val="18"/>
                <w:szCs w:val="18"/>
                <w:color w:val="auto"/>
              </w:rPr>
            </w:pPr>
          </w:p>
        </w:tc>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Chief Executive Officer and Director</w:t>
            </w:r>
          </w:p>
        </w:tc>
      </w:tr>
      <w:tr>
        <w:trPr>
          <w:trHeight w:val="213"/>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Matthew C. Abernethy</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80" w:type="dxa"/>
            <w:vAlign w:val="bottom"/>
          </w:tcPr>
          <w:p>
            <w:pPr>
              <w:spacing w:after="0"/>
              <w:rPr>
                <w:sz w:val="18"/>
                <w:szCs w:val="18"/>
                <w:color w:val="auto"/>
              </w:rPr>
            </w:pPr>
          </w:p>
        </w:tc>
        <w:tc>
          <w:tcPr>
            <w:tcW w:w="4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19"/>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Eric Benevich</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c>
          <w:tcPr>
            <w:tcW w:w="80" w:type="dxa"/>
            <w:vAlign w:val="bottom"/>
            <w:shd w:val="clear" w:color="auto" w:fill="CCEEFF"/>
          </w:tcPr>
          <w:p>
            <w:pPr>
              <w:spacing w:after="0"/>
              <w:rPr>
                <w:sz w:val="19"/>
                <w:szCs w:val="19"/>
                <w:color w:val="auto"/>
              </w:rPr>
            </w:pPr>
          </w:p>
        </w:tc>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Chief Commercial Officer</w:t>
            </w:r>
          </w:p>
        </w:tc>
      </w:tr>
      <w:tr>
        <w:trPr>
          <w:trHeight w:val="213"/>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David W. Boyer</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80" w:type="dxa"/>
            <w:vAlign w:val="bottom"/>
          </w:tcPr>
          <w:p>
            <w:pPr>
              <w:spacing w:after="0"/>
              <w:rPr>
                <w:sz w:val="18"/>
                <w:szCs w:val="18"/>
                <w:color w:val="auto"/>
              </w:rPr>
            </w:pPr>
          </w:p>
        </w:tc>
        <w:tc>
          <w:tcPr>
            <w:tcW w:w="4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Chief Corporate Affairs Officer</w:t>
            </w:r>
          </w:p>
        </w:tc>
      </w:tr>
      <w:tr>
        <w:trPr>
          <w:trHeight w:val="219"/>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Julie S. Cooke</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c>
          <w:tcPr>
            <w:tcW w:w="80" w:type="dxa"/>
            <w:vAlign w:val="bottom"/>
            <w:shd w:val="clear" w:color="auto" w:fill="CCEEFF"/>
          </w:tcPr>
          <w:p>
            <w:pPr>
              <w:spacing w:after="0"/>
              <w:rPr>
                <w:sz w:val="19"/>
                <w:szCs w:val="19"/>
                <w:color w:val="auto"/>
              </w:rPr>
            </w:pPr>
          </w:p>
        </w:tc>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Chief Human Resources Officer</w:t>
            </w:r>
          </w:p>
        </w:tc>
      </w:tr>
      <w:tr>
        <w:trPr>
          <w:trHeight w:val="213"/>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Ingrid Delaet</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c>
          <w:tcPr>
            <w:tcW w:w="80" w:type="dxa"/>
            <w:vAlign w:val="bottom"/>
          </w:tcPr>
          <w:p>
            <w:pPr>
              <w:spacing w:after="0"/>
              <w:rPr>
                <w:sz w:val="18"/>
                <w:szCs w:val="18"/>
                <w:color w:val="auto"/>
              </w:rPr>
            </w:pPr>
          </w:p>
        </w:tc>
        <w:tc>
          <w:tcPr>
            <w:tcW w:w="4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Chief Regulatory Officer</w:t>
            </w:r>
          </w:p>
        </w:tc>
      </w:tr>
      <w:tr>
        <w:trPr>
          <w:trHeight w:val="219"/>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Kyle W. Gano, Ph.D.</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c>
          <w:tcPr>
            <w:tcW w:w="80" w:type="dxa"/>
            <w:vAlign w:val="bottom"/>
            <w:shd w:val="clear" w:color="auto" w:fill="CCEEFF"/>
          </w:tcPr>
          <w:p>
            <w:pPr>
              <w:spacing w:after="0"/>
              <w:rPr>
                <w:sz w:val="19"/>
                <w:szCs w:val="19"/>
                <w:color w:val="auto"/>
              </w:rPr>
            </w:pPr>
          </w:p>
        </w:tc>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Chief Business Development and Strategy Officer</w:t>
            </w:r>
          </w:p>
        </w:tc>
      </w:tr>
      <w:tr>
        <w:trPr>
          <w:trHeight w:val="213"/>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Darin M. Lippoldt</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c>
          <w:tcPr>
            <w:tcW w:w="80" w:type="dxa"/>
            <w:vAlign w:val="bottom"/>
          </w:tcPr>
          <w:p>
            <w:pPr>
              <w:spacing w:after="0"/>
              <w:rPr>
                <w:sz w:val="18"/>
                <w:szCs w:val="18"/>
                <w:color w:val="auto"/>
              </w:rPr>
            </w:pPr>
          </w:p>
        </w:tc>
        <w:tc>
          <w:tcPr>
            <w:tcW w:w="4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Chief Legal Officer and Corporate Secretary</w:t>
            </w:r>
          </w:p>
        </w:tc>
      </w:tr>
      <w:tr>
        <w:trPr>
          <w:trHeight w:val="219"/>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Jude Onyia, Ph.D.</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c>
          <w:tcPr>
            <w:tcW w:w="80" w:type="dxa"/>
            <w:vAlign w:val="bottom"/>
            <w:shd w:val="clear" w:color="auto" w:fill="CCEEFF"/>
          </w:tcPr>
          <w:p>
            <w:pPr>
              <w:spacing w:after="0"/>
              <w:rPr>
                <w:sz w:val="19"/>
                <w:szCs w:val="19"/>
                <w:color w:val="auto"/>
              </w:rPr>
            </w:pPr>
          </w:p>
        </w:tc>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Chief Scientific Officer</w:t>
            </w:r>
          </w:p>
        </w:tc>
      </w:tr>
      <w:tr>
        <w:trPr>
          <w:trHeight w:val="210"/>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Eiry W. Roberts, M.D.</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c>
          <w:tcPr>
            <w:tcW w:w="80" w:type="dxa"/>
            <w:vAlign w:val="bottom"/>
          </w:tcPr>
          <w:p>
            <w:pPr>
              <w:spacing w:after="0"/>
              <w:rPr>
                <w:sz w:val="18"/>
                <w:szCs w:val="18"/>
                <w:color w:val="auto"/>
              </w:rPr>
            </w:pPr>
          </w:p>
        </w:tc>
        <w:tc>
          <w:tcPr>
            <w:tcW w:w="4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Chief Medical Officer</w:t>
            </w:r>
          </w:p>
        </w:tc>
      </w:tr>
    </w:tbl>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above for biographical information concerning Kevin C. Gorman, Ph.D.</w:t>
      </w:r>
    </w:p>
    <w:p>
      <w:pPr>
        <w:spacing w:after="0" w:line="181" w:lineRule="exact"/>
        <w:rPr>
          <w:sz w:val="20"/>
          <w:szCs w:val="20"/>
          <w:color w:val="auto"/>
        </w:rPr>
      </w:pPr>
    </w:p>
    <w:p>
      <w:pPr>
        <w:ind w:right="600" w:firstLine="551"/>
        <w:spacing w:after="0" w:line="238" w:lineRule="auto"/>
        <w:rPr>
          <w:sz w:val="20"/>
          <w:szCs w:val="20"/>
          <w:color w:val="auto"/>
        </w:rPr>
      </w:pPr>
      <w:r>
        <w:rPr>
          <w:rFonts w:ascii="Times New Roman" w:cs="Times New Roman" w:eastAsia="Times New Roman" w:hAnsi="Times New Roman"/>
          <w:sz w:val="17"/>
          <w:szCs w:val="17"/>
          <w:b w:val="1"/>
          <w:bCs w:val="1"/>
          <w:i w:val="1"/>
          <w:iCs w:val="1"/>
          <w:color w:val="auto"/>
        </w:rPr>
        <w:t xml:space="preserve">Matthew C. Abernethy </w:t>
      </w:r>
      <w:r>
        <w:rPr>
          <w:rFonts w:ascii="Times New Roman" w:cs="Times New Roman" w:eastAsia="Times New Roman" w:hAnsi="Times New Roman"/>
          <w:sz w:val="17"/>
          <w:szCs w:val="17"/>
          <w:color w:val="auto"/>
        </w:rPr>
        <w:t>was appointed Chief Financial Officer in November 2017 and is responsible for leading corporate finance activities,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commercial supply chain operations, information technology, investor relations, facilities, and European operations at Neurocrine Biosciences.</w:t>
      </w:r>
    </w:p>
    <w:p>
      <w:pPr>
        <w:spacing w:after="0" w:line="1"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Mr. Abernethy has over 15 years of biotech and medical device experience in finance and investor relations. He joined Neurocrine Biosciences from Zimmer Biomet, where he held various positions from February 2009 to November 2017, including most recently, Vice President, Investor Relations and Treasurer and Vice President of Finance for the Americas and Global Product Engines. He began his career with KPMG LLP and became a certified public</w:t>
      </w:r>
    </w:p>
    <w:p>
      <w:pPr>
        <w:spacing w:after="0" w:line="2"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18"/>
          <w:szCs w:val="18"/>
          <w:color w:val="auto"/>
        </w:rPr>
        <w:t>accountant (inactive). Mr. Abernethy earned his B.S. in Accounting and Business Administration from Grace College and an MBA from the University of Chicago.</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Eric Benevich </w:t>
      </w:r>
      <w:r>
        <w:rPr>
          <w:rFonts w:ascii="Times New Roman" w:cs="Times New Roman" w:eastAsia="Times New Roman" w:hAnsi="Times New Roman"/>
          <w:sz w:val="18"/>
          <w:szCs w:val="18"/>
          <w:color w:val="auto"/>
        </w:rPr>
        <w:t>was appointed Chief Commercial Officer in May 2015 and is responsible for all aspects of commercial development, marketing and</w:t>
      </w:r>
    </w:p>
    <w:p>
      <w:pPr>
        <w:spacing w:after="0" w:line="6" w:lineRule="exact"/>
        <w:rPr>
          <w:sz w:val="20"/>
          <w:szCs w:val="20"/>
          <w:color w:val="auto"/>
        </w:rPr>
      </w:pPr>
    </w:p>
    <w:p>
      <w:pPr>
        <w:ind w:right="200"/>
        <w:spacing w:after="0" w:line="200" w:lineRule="auto"/>
        <w:rPr>
          <w:sz w:val="20"/>
          <w:szCs w:val="20"/>
          <w:color w:val="auto"/>
        </w:rPr>
      </w:pPr>
      <w:r>
        <w:rPr>
          <w:rFonts w:ascii="Times New Roman" w:cs="Times New Roman" w:eastAsia="Times New Roman" w:hAnsi="Times New Roman"/>
          <w:sz w:val="18"/>
          <w:szCs w:val="18"/>
          <w:color w:val="auto"/>
        </w:rPr>
        <w:t>sales of the Neurocrine Biosciences product portfolio. Mr. Benevich has over 30 years of commercial experience in the pharmaceutical industry and previously served in various positions of increasing responsibility at AstraZeneca, Amgen, Peninsula Pharmaceuticals and Avanir Pharmaceuticals in the sales and marketing of drugs such as Prilosec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Epogen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Enbrel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Neudexta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Mr. Benevich has a BBA in International Business from Washington State University.</w:t>
      </w:r>
    </w:p>
    <w:p>
      <w:pPr>
        <w:spacing w:after="0" w:line="170" w:lineRule="exact"/>
        <w:rPr>
          <w:sz w:val="20"/>
          <w:szCs w:val="20"/>
          <w:color w:val="auto"/>
        </w:rPr>
      </w:pPr>
    </w:p>
    <w:p>
      <w:pPr>
        <w:ind w:right="240" w:firstLine="551"/>
        <w:spacing w:after="0" w:line="230" w:lineRule="auto"/>
        <w:rPr>
          <w:sz w:val="20"/>
          <w:szCs w:val="20"/>
          <w:color w:val="auto"/>
        </w:rPr>
      </w:pPr>
      <w:r>
        <w:rPr>
          <w:rFonts w:ascii="Times New Roman" w:cs="Times New Roman" w:eastAsia="Times New Roman" w:hAnsi="Times New Roman"/>
          <w:sz w:val="17"/>
          <w:szCs w:val="17"/>
          <w:b w:val="1"/>
          <w:bCs w:val="1"/>
          <w:i w:val="1"/>
          <w:iCs w:val="1"/>
          <w:color w:val="auto"/>
        </w:rPr>
        <w:t xml:space="preserve">David W. Boyer </w:t>
      </w:r>
      <w:r>
        <w:rPr>
          <w:rFonts w:ascii="Times New Roman" w:cs="Times New Roman" w:eastAsia="Times New Roman" w:hAnsi="Times New Roman"/>
          <w:sz w:val="17"/>
          <w:szCs w:val="17"/>
          <w:color w:val="auto"/>
        </w:rPr>
        <w:t>was appointed Chief Corporate Affairs Officer in September 2019 and is responsible for patient advocacy and engagement,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corporate communications, government relations, and public policy at Neurocrine Biosciences. Mr. Boyer brings nearly 20 years of experience in public affairs, specializing in the life sciences and biopharmaceutical sectors. He joins Neurocrine Biosciences after nine years with the BGR Group, where he</w:t>
      </w:r>
    </w:p>
    <w:p>
      <w:pPr>
        <w:spacing w:after="0" w:line="2" w:lineRule="exact"/>
        <w:rPr>
          <w:sz w:val="20"/>
          <w:szCs w:val="20"/>
          <w:color w:val="auto"/>
        </w:rPr>
      </w:pPr>
    </w:p>
    <w:p>
      <w:pPr>
        <w:ind w:right="100"/>
        <w:spacing w:after="0" w:line="220" w:lineRule="auto"/>
        <w:rPr>
          <w:sz w:val="20"/>
          <w:szCs w:val="20"/>
          <w:color w:val="auto"/>
        </w:rPr>
      </w:pPr>
      <w:r>
        <w:rPr>
          <w:rFonts w:ascii="Times New Roman" w:cs="Times New Roman" w:eastAsia="Times New Roman" w:hAnsi="Times New Roman"/>
          <w:sz w:val="17"/>
          <w:szCs w:val="17"/>
          <w:color w:val="auto"/>
        </w:rPr>
        <w:t>served as a Principal and the Head of the Health &amp; Lifesciences Practice, leading the firm’s healthcare advocacy, policy and strategy development, and strategic consulting team. During his tenure at the BGR Group, Mr. Boyer led public policy, advocacy, and strategic communications initiatives for a wide range of healthcare clients. Prior to joining the BGR Group, Mr. Boyer served as Special Assistant to the President for Legislative Affairs under President</w:t>
      </w:r>
    </w:p>
    <w:p>
      <w:pPr>
        <w:spacing w:after="0" w:line="2"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George W. Bush, Assistant Commissioner for Legislation at the U.S. Food and Drug Administration, and Special Assistant to the Secretary at the U.S. Department of Health and Human Services. In addition to his public service, Mr. Boyer held senior advocacy positions at the Biotechnology Innovation Organization (BIO) and the Pharmaceutical Research and Manufacturers of America (PhRMA). Mr. Boyer holds a B.A. in Government from Georgetown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University.</w:t>
      </w:r>
    </w:p>
    <w:p>
      <w:pPr>
        <w:spacing w:after="0" w:line="161" w:lineRule="exact"/>
        <w:rPr>
          <w:sz w:val="20"/>
          <w:szCs w:val="20"/>
          <w:color w:val="auto"/>
        </w:rPr>
      </w:pPr>
    </w:p>
    <w:p>
      <w:pPr>
        <w:ind w:right="60" w:firstLine="551"/>
        <w:spacing w:after="0" w:line="238" w:lineRule="auto"/>
        <w:rPr>
          <w:sz w:val="20"/>
          <w:szCs w:val="20"/>
          <w:color w:val="auto"/>
        </w:rPr>
      </w:pPr>
      <w:r>
        <w:rPr>
          <w:rFonts w:ascii="Times New Roman" w:cs="Times New Roman" w:eastAsia="Times New Roman" w:hAnsi="Times New Roman"/>
          <w:sz w:val="17"/>
          <w:szCs w:val="17"/>
          <w:b w:val="1"/>
          <w:bCs w:val="1"/>
          <w:i w:val="1"/>
          <w:iCs w:val="1"/>
          <w:color w:val="auto"/>
        </w:rPr>
        <w:t xml:space="preserve">Julie S. Cooke </w:t>
      </w:r>
      <w:r>
        <w:rPr>
          <w:rFonts w:ascii="Times New Roman" w:cs="Times New Roman" w:eastAsia="Times New Roman" w:hAnsi="Times New Roman"/>
          <w:sz w:val="17"/>
          <w:szCs w:val="17"/>
          <w:color w:val="auto"/>
        </w:rPr>
        <w:t>was appointed Chief Human Resources Officer in September 2017. She joined Neurocrine Biosciences from the Sanford Burnham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Prebys Medical Research Institute where she served as Senior Vice President for Human Resources and was a member of the executive management team.</w:t>
      </w:r>
    </w:p>
    <w:p>
      <w:pPr>
        <w:spacing w:after="0" w:line="1"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Previously, Ms. Cooke held multiple positions at Life Technologies, including being the human resource partner to the Chief Operating Officer, Division Presidents and Global Function Leads. Prior to Life Technologies, she ran human resources and was a member of the executive management team at SGX Pharmaceuticals. Ms. Cooke began her career at PepsiCo., The Pepsi Bottling Group, and Gateway, where she held positions of increasing responsibility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resources. She holds a Bachelor of Arts in Economics from Colorado College.</w:t>
      </w:r>
    </w:p>
    <w:p>
      <w:pPr>
        <w:spacing w:after="0" w:line="161" w:lineRule="exact"/>
        <w:rPr>
          <w:sz w:val="20"/>
          <w:szCs w:val="20"/>
          <w:color w:val="auto"/>
        </w:rPr>
      </w:pPr>
    </w:p>
    <w:p>
      <w:pPr>
        <w:ind w:right="140" w:firstLine="551"/>
        <w:spacing w:after="0" w:line="238"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Ingrid Delaet, Ph.D. </w:t>
      </w:r>
      <w:r>
        <w:rPr>
          <w:rFonts w:ascii="Times New Roman" w:cs="Times New Roman" w:eastAsia="Times New Roman" w:hAnsi="Times New Roman"/>
          <w:sz w:val="17"/>
          <w:szCs w:val="17"/>
          <w:color w:val="auto"/>
        </w:rPr>
        <w:t>was appointed Vice President, Regulatory Affairs in 2021, and Chief Regulatory Officer in October 2022. She is responsible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 leading the regulatory affairs, quality assurance, medical writing, and program management teams. Dr. Delaet has more than 25 years of drug</w:t>
      </w:r>
    </w:p>
    <w:p>
      <w:pPr>
        <w:spacing w:after="0" w:line="1"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development experience in several therapeutic areas, including immunology, hepatology, cardiovascular, and metabolic diseases. Prior to joining Neurocrine Biosciences, she served as Senior Vice President, Regulatory Affairs at Intercept Pharmaceuticals, which she joined in 2016. Between 1997 and 2016, Dr. Delaet held various positions of increasing responsibility at Bristol-Myers Squibb in the United States, first in Clinical Research and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Development and then in Global Regulatory Affairs, where she served as Therapeutic Area Lead for Immunology. Prior to Bristol-Myers Squibb, she held positions in clinical research at CellPro, Inc. and Wyeth-Ayerst Research. She received her Ph.D. in Immunology and her M.Sc. in Pharmaceutical Sciences from The Free University of Brussels, Belgium.</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Kyle W. Gano, Ph.D. </w:t>
      </w:r>
      <w:r>
        <w:rPr>
          <w:rFonts w:ascii="Times New Roman" w:cs="Times New Roman" w:eastAsia="Times New Roman" w:hAnsi="Times New Roman"/>
          <w:sz w:val="18"/>
          <w:szCs w:val="18"/>
          <w:color w:val="auto"/>
        </w:rPr>
        <w:t>was appointed Chief Business Development Officer in 2011, and Chief Business Development and Strategy Officer in 2020,</w:t>
      </w:r>
    </w:p>
    <w:p>
      <w:pPr>
        <w:spacing w:after="0" w:line="6" w:lineRule="exact"/>
        <w:rPr>
          <w:sz w:val="20"/>
          <w:szCs w:val="20"/>
          <w:color w:val="auto"/>
        </w:rPr>
      </w:pPr>
    </w:p>
    <w:p>
      <w:pPr>
        <w:ind w:right="240"/>
        <w:spacing w:after="0" w:line="220" w:lineRule="auto"/>
        <w:rPr>
          <w:sz w:val="20"/>
          <w:szCs w:val="20"/>
          <w:color w:val="auto"/>
        </w:rPr>
      </w:pPr>
      <w:r>
        <w:rPr>
          <w:rFonts w:ascii="Times New Roman" w:cs="Times New Roman" w:eastAsia="Times New Roman" w:hAnsi="Times New Roman"/>
          <w:sz w:val="17"/>
          <w:szCs w:val="17"/>
          <w:color w:val="auto"/>
        </w:rPr>
        <w:t>and is responsible for all business and corporate development activities, including the management of ongoing collaborations with AbbVie, Mitsubishi Tanabe Pharma, Sentia Medical Sciences, Jnana Therapeutics, Voyager Therapeutics, Xenon Pharmaceuticals, Idorsia, Takeda Pharmaceutical Company Limited, and Sosei Heptares. From 2001 to 2011, Dr. Gano held several positions of increasing responsibility at Neurocrine Biosciences spanning</w:t>
      </w:r>
    </w:p>
    <w:p>
      <w:pPr>
        <w:spacing w:after="0" w:line="2" w:lineRule="exact"/>
        <w:rPr>
          <w:sz w:val="20"/>
          <w:szCs w:val="20"/>
          <w:color w:val="auto"/>
        </w:rPr>
      </w:pPr>
    </w:p>
    <w:p>
      <w:pPr>
        <w:ind w:right="500"/>
        <w:spacing w:after="0" w:line="226" w:lineRule="auto"/>
        <w:rPr>
          <w:sz w:val="20"/>
          <w:szCs w:val="20"/>
          <w:color w:val="auto"/>
        </w:rPr>
      </w:pPr>
      <w:r>
        <w:rPr>
          <w:rFonts w:ascii="Times New Roman" w:cs="Times New Roman" w:eastAsia="Times New Roman" w:hAnsi="Times New Roman"/>
          <w:sz w:val="18"/>
          <w:szCs w:val="18"/>
          <w:color w:val="auto"/>
        </w:rPr>
        <w:t>marketing analytics to business development. Dr. Gano received his B.S. in Chemistry from the University of Oregon, B.S. in Biochemistry from the University of Washington, and his Ph.D. in Organic Chemistry and M.B.A. in Finance from the University of California, Los Angeles.</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Darin M. Lippoldt </w:t>
      </w:r>
      <w:r>
        <w:rPr>
          <w:rFonts w:ascii="Times New Roman" w:cs="Times New Roman" w:eastAsia="Times New Roman" w:hAnsi="Times New Roman"/>
          <w:sz w:val="18"/>
          <w:szCs w:val="18"/>
          <w:color w:val="auto"/>
        </w:rPr>
        <w:t>was appointed Chief Legal Officer and Corporate Secretary in October 2014 and has oversight of all legal, intellectual property,</w:t>
      </w:r>
    </w:p>
    <w:p>
      <w:pPr>
        <w:spacing w:after="0" w:line="6"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and compliance matters. Mr. Lippoldt is also serving as Chair of the Biotechnology Innovation Organization (BIO) General Counsels’ Committee for 2023-2024. Prior to joining Neurocrine Biosciences, Mr. Lippoldt served as Executive Vice President, General Counsel, Chief Compliance Officer and Corporate Secretary of Volcano Corporation, a company he joined in 2010. Prior to Volcano, Mr. Lippoldt served as Associate General Counsel at Amylin</w:t>
      </w:r>
    </w:p>
    <w:p>
      <w:pPr>
        <w:spacing w:after="0" w:line="2"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Pharmaceuticals, Inc. He previously practiced corporate and securities law with the law firms of Fulbright &amp; Jaworski LLP and Matthews and Branscomb, P.C. Mr. Lippoldt received a B.B.A. in Finance, an M.A. in International Relations and a J.D. from St. Mary’s University.</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Jude Onyia, Ph.D. </w:t>
      </w:r>
      <w:r>
        <w:rPr>
          <w:rFonts w:ascii="Times New Roman" w:cs="Times New Roman" w:eastAsia="Times New Roman" w:hAnsi="Times New Roman"/>
          <w:sz w:val="18"/>
          <w:szCs w:val="18"/>
          <w:color w:val="auto"/>
        </w:rPr>
        <w:t>was appointed Chief Scientific Officer in November 2021 and leads the drug discovery and non-clinical development teams</w:t>
      </w:r>
    </w:p>
    <w:p>
      <w:pPr>
        <w:spacing w:after="0" w:line="6" w:lineRule="exact"/>
        <w:rPr>
          <w:sz w:val="20"/>
          <w:szCs w:val="20"/>
          <w:color w:val="auto"/>
        </w:rPr>
      </w:pPr>
    </w:p>
    <w:p>
      <w:pPr>
        <w:ind w:right="300"/>
        <w:spacing w:after="0" w:line="219" w:lineRule="auto"/>
        <w:rPr>
          <w:sz w:val="20"/>
          <w:szCs w:val="20"/>
          <w:color w:val="auto"/>
        </w:rPr>
      </w:pPr>
      <w:r>
        <w:rPr>
          <w:rFonts w:ascii="Times New Roman" w:cs="Times New Roman" w:eastAsia="Times New Roman" w:hAnsi="Times New Roman"/>
          <w:sz w:val="17"/>
          <w:szCs w:val="17"/>
          <w:color w:val="auto"/>
        </w:rPr>
        <w:t>responsible for bolstering and advancing the company’s pipeline of therapeutic candidates. Additionally, in February 2023, Dr. Onyia joined Voyager Therapeutics, Inc.'s board of directors. A scientist with more than 25 years of experience in the pharmaceutical industry, Dr. Onyia is the former Vice President of Biotechnology Discovery Research at Eli Lilly and Company. At Lilly, Dr. Onyia contributed to the discovery and/or advancement of more than 60 clinical candidates across multiple therapeutic areas, which led to seven approved medicines. He also was responsible for more than 50 pre-</w:t>
      </w:r>
    </w:p>
    <w:p>
      <w:pPr>
        <w:spacing w:after="0" w:line="2"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candidate programs across multiple therapeutic areas. Dr. Onyia holds a B.S. in Forest Biology from the State University of New York (SUNY) College of Environmental Science and Forestry, as well as a Ph.D. in Cell and Molecular Biology from the SUNY Health Science Center, both at Syracuse NY.</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Eiry W. Roberts, M.D. </w:t>
      </w:r>
      <w:r>
        <w:rPr>
          <w:rFonts w:ascii="Times New Roman" w:cs="Times New Roman" w:eastAsia="Times New Roman" w:hAnsi="Times New Roman"/>
          <w:sz w:val="18"/>
          <w:szCs w:val="18"/>
          <w:color w:val="auto"/>
        </w:rPr>
        <w:t>was appointed Chief Medical Officer in January 2018 and is responsible for all clinical development and medical affairs</w:t>
      </w:r>
    </w:p>
    <w:p>
      <w:pPr>
        <w:spacing w:after="0" w:line="6"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activities at Neurocrine Biosciences. Dr. Roberts has over 25 years of research and development experience in the pharmaceutical industry across all phases of drug development from research through commercialization in multiple therapeutic areas, including neuroscience, inflammation, oncology and metabolic diseases. She joined Neurocrine Biosciences from Eli Lilly and Company where she had worked since May 1991. During her tenure at Lilly,</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Dr. Roberts held various positions of increasing responsibility, including Vice President, Clinical Pharmacology/Managing Director of Chorus, a position she held from October 2014 until December 2017, and Vice President of Research and Development, BioMedicines Business Unit. Dr. Roberts is a physician who trained in pharmacology and medicine in the United Kingdom, qualifying from the University of London in 1987. Her post-graduate clinical</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training was in clinical pharmacology and cardiology at St. Bartholomew’s Hospital and the Royal London Hospital. Dr. Roberts also serves as a director of Amicus Therapeutics, a clinical-stage biopharmaceutical company focused on rare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94" w:lineRule="exact"/>
        <w:rPr>
          <w:sz w:val="20"/>
          <w:szCs w:val="20"/>
          <w:color w:val="auto"/>
        </w:rPr>
      </w:pPr>
    </w:p>
    <w:p>
      <w:pPr>
        <w:ind w:right="240" w:firstLine="551"/>
        <w:spacing w:after="0" w:line="226" w:lineRule="auto"/>
        <w:rPr>
          <w:sz w:val="20"/>
          <w:szCs w:val="20"/>
          <w:color w:val="auto"/>
        </w:rPr>
      </w:pPr>
      <w:r>
        <w:rPr>
          <w:rFonts w:ascii="Times New Roman" w:cs="Times New Roman" w:eastAsia="Times New Roman" w:hAnsi="Times New Roman"/>
          <w:sz w:val="18"/>
          <w:szCs w:val="18"/>
          <w:color w:val="auto"/>
        </w:rPr>
        <w:t>This Compensation Discussion and Analysis describes Neurocrine Biosciences’ executive officer compensation program for 2023. It provides qualitative information on the factors relevant to these decisions and the manner in which compensation is awarded to the following individuals who are our Named Executive Officers (“NEOs”) for 2023:</w:t>
      </w:r>
    </w:p>
    <w:p>
      <w:pPr>
        <w:spacing w:after="0" w:line="160" w:lineRule="exact"/>
        <w:rPr>
          <w:sz w:val="20"/>
          <w:szCs w:val="20"/>
          <w:color w:val="auto"/>
        </w:rPr>
      </w:pPr>
    </w:p>
    <w:p>
      <w:pPr>
        <w:ind w:left="1020" w:hanging="23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Kevin C. Gorman, Ph.D., Chief Executive Officer</w:t>
      </w:r>
    </w:p>
    <w:p>
      <w:pPr>
        <w:ind w:left="1020" w:hanging="234"/>
        <w:spacing w:after="0" w:line="203"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Matthew C. Abernethy, Chief Financial Officer</w:t>
      </w:r>
    </w:p>
    <w:p>
      <w:pPr>
        <w:ind w:left="1020" w:hanging="234"/>
        <w:spacing w:after="0" w:line="219"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Kyle W. Gano, Ph.D., Chief Business Development and Strategy Officer</w:t>
      </w:r>
    </w:p>
    <w:p>
      <w:pPr>
        <w:ind w:left="1020" w:hanging="234"/>
        <w:spacing w:after="0" w:line="203"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Jude Onyia, Ph.D., Chief Scientific Officer</w:t>
      </w:r>
    </w:p>
    <w:p>
      <w:pPr>
        <w:ind w:left="1020" w:hanging="23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Eiry W. Roberts, M.D., Chief Medical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94" w:lineRule="exact"/>
        <w:rPr>
          <w:sz w:val="20"/>
          <w:szCs w:val="20"/>
          <w:color w:val="auto"/>
        </w:rPr>
      </w:pPr>
    </w:p>
    <w:p>
      <w:pPr>
        <w:ind w:right="280" w:firstLine="551"/>
        <w:spacing w:after="0" w:line="225" w:lineRule="auto"/>
        <w:rPr>
          <w:sz w:val="20"/>
          <w:szCs w:val="20"/>
          <w:color w:val="auto"/>
        </w:rPr>
      </w:pPr>
      <w:r>
        <w:rPr>
          <w:rFonts w:ascii="Times New Roman" w:cs="Times New Roman" w:eastAsia="Times New Roman" w:hAnsi="Times New Roman"/>
          <w:sz w:val="17"/>
          <w:szCs w:val="17"/>
          <w:color w:val="auto"/>
        </w:rPr>
        <w:t>Neurocrine Biosciences is a neuroscience-focused, biopharmaceutical company with a simple purpose: to relieve suffering for people with great needs, but few options. We are dedicated to discovering and developing life-changing treatments for patients with under-addressed neurological, neuroendocrine, and neuropsychiatric disorders. The Company’s diverse portfolio includes U.S. Food and Drug Administration (“FDA”) approved treatments for tardive dyskinesia, chorea associated with Huntington's disease, adrenal insufficiency, endometriosis and uterine fibroids in collaboration</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with AbbVie Inc. ("AbbVie"), a European Medicines Agency approved treatment for classic congenital adrenal hyperplasia ("CAH") and a diversified portfolio of advanced clinical-stage programs in multiple therapeutic areas. For three decades, we have applied our unique insight into neuroscience and the interconnections between brain and body systems to treat complex conditions. We relentlessly pursue medicines to ease the burden of debilitating diseases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disorders.</w:t>
      </w:r>
    </w:p>
    <w:p>
      <w:pPr>
        <w:spacing w:after="0" w:line="53" w:lineRule="exact"/>
        <w:rPr>
          <w:sz w:val="20"/>
          <w:szCs w:val="20"/>
          <w:color w:val="auto"/>
        </w:rPr>
      </w:pPr>
    </w:p>
    <w:p>
      <w:pPr>
        <w:ind w:right="200" w:firstLine="551"/>
        <w:spacing w:after="0" w:line="207" w:lineRule="auto"/>
        <w:rPr>
          <w:sz w:val="20"/>
          <w:szCs w:val="20"/>
          <w:color w:val="auto"/>
        </w:rPr>
      </w:pPr>
      <w:r>
        <w:rPr>
          <w:rFonts w:ascii="Times New Roman" w:cs="Times New Roman" w:eastAsia="Times New Roman" w:hAnsi="Times New Roman"/>
          <w:sz w:val="17"/>
          <w:szCs w:val="17"/>
          <w:color w:val="auto"/>
        </w:rPr>
        <w:t>We launched INGREZZA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(valbenazine) in the U.S. as the first FDA-approved drug for the treatment of tardive dyskinesia in May 2017 and for the treatment of adults with chorea associated with Huntington's disease in August 2023. INGREZZA net product sales totaled over $1.8 billion for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accounted for approximately 99% of our total net product sales for 2023.</w:t>
      </w:r>
    </w:p>
    <w:p>
      <w:pPr>
        <w:spacing w:after="0" w:line="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to our marketed products:</w:t>
      </w:r>
    </w:p>
    <w:p>
      <w:pPr>
        <w:spacing w:after="0" w:line="77" w:lineRule="exact"/>
        <w:rPr>
          <w:sz w:val="20"/>
          <w:szCs w:val="20"/>
          <w:color w:val="auto"/>
        </w:rPr>
      </w:pPr>
    </w:p>
    <w:p>
      <w:pPr>
        <w:ind w:left="980" w:right="300" w:hanging="405"/>
        <w:spacing w:after="0" w:line="279" w:lineRule="auto"/>
        <w:tabs>
          <w:tab w:leader="none" w:pos="97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robust pipeline including multiple compounds in mid- to late-phase clinical development across our core therapeutic areas. Our diverse portfolio features novel mechanisms to treat intractable diseases focused on neurology, neuroendocrinology and neuropsychiatry.</w:t>
      </w:r>
    </w:p>
    <w:p>
      <w:pPr>
        <w:spacing w:after="0" w:line="14" w:lineRule="exact"/>
        <w:rPr>
          <w:rFonts w:ascii="Times New Roman" w:cs="Times New Roman" w:eastAsia="Times New Roman" w:hAnsi="Times New Roman"/>
          <w:sz w:val="17"/>
          <w:szCs w:val="17"/>
          <w:color w:val="auto"/>
        </w:rPr>
      </w:pPr>
    </w:p>
    <w:p>
      <w:pPr>
        <w:ind w:left="980" w:right="460" w:hanging="405"/>
        <w:spacing w:after="0" w:line="196"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 Mitsubishi Tanabe Pharma Corporation ("MTPC") launched DYSVAL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(valbenazine) in Japan for the treatment of tardive dyskinesia in June 2022 and subsequently in other select Asian markets, where it is marketed as REMLEAS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(valbenazine). We receive royalties at tiered percentage rates on MTPC net sales of valbenazine.</w:t>
      </w:r>
    </w:p>
    <w:p>
      <w:pPr>
        <w:spacing w:after="0" w:line="46" w:lineRule="exact"/>
        <w:rPr>
          <w:rFonts w:ascii="Times New Roman" w:cs="Times New Roman" w:eastAsia="Times New Roman" w:hAnsi="Times New Roman"/>
          <w:sz w:val="18"/>
          <w:szCs w:val="18"/>
          <w:color w:val="auto"/>
        </w:rPr>
      </w:pPr>
    </w:p>
    <w:p>
      <w:pPr>
        <w:ind w:left="980" w:right="120" w:hanging="405"/>
        <w:spacing w:after="0" w:line="197"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 AbbVie launched ORILISSA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(elagolix tablets) in the U.S. for the treatment of moderate to severe pain associated with endometriosis in August 2018 and ORIAHNN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(elagolix, estradiol and norethindrone acetate capsules and elagolix capsules) in the U.S. for the treatment of heavy menstrual bleeding due to uterine fibroids in June 2020. We receive royalties at tiered percentage rates on AbbVie net sales of elagolix.</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Corporate Performance Highlights</w:t>
      </w:r>
    </w:p>
    <w:p>
      <w:pPr>
        <w:spacing w:after="0" w:line="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delivered a strong performance in 2023, as demonstrated by the following achievements and developments:</w:t>
      </w:r>
    </w:p>
    <w:p>
      <w:pPr>
        <w:spacing w:after="0" w:line="77" w:lineRule="exact"/>
        <w:rPr>
          <w:sz w:val="20"/>
          <w:szCs w:val="20"/>
          <w:color w:val="auto"/>
        </w:rPr>
      </w:pPr>
    </w:p>
    <w:p>
      <w:pPr>
        <w:ind w:left="980" w:right="260" w:hanging="405"/>
        <w:spacing w:after="0" w:line="231"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INGREZZA net product sales for 2023 increased 28.6% year-over-year to over $1.8 billion, reflecting higher prescription demand and increased commercial activities, including continued investment in our branded direct-to-consumer INGREZZA advertising campaign and benefit from the expansion of our sales force completed in April 2022.</w:t>
      </w:r>
    </w:p>
    <w:p>
      <w:pPr>
        <w:spacing w:after="0" w:line="50"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2023, the FDA approved INGREZZA for the treatment of adults with chorea associated with Huntington's disease.</w:t>
      </w:r>
    </w:p>
    <w:p>
      <w:pPr>
        <w:spacing w:after="0" w:line="76" w:lineRule="exact"/>
        <w:rPr>
          <w:rFonts w:ascii="Times New Roman" w:cs="Times New Roman" w:eastAsia="Times New Roman" w:hAnsi="Times New Roman"/>
          <w:sz w:val="18"/>
          <w:szCs w:val="18"/>
          <w:color w:val="auto"/>
        </w:rPr>
      </w:pPr>
    </w:p>
    <w:p>
      <w:pPr>
        <w:ind w:left="980" w:right="20" w:hanging="405"/>
        <w:spacing w:after="0" w:line="231"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positive top-line data from the Phase 3 clinical studies of crinecerfont in adults and pediatrics with CAH. Crinecerfont subsequently received Breakthrough Therapy designation from the FDA for the treatment of CAH. Data from the Phase 3 studies will support a New Drug Application ("NDA") submission to the FDA in the second quarter of 2024.</w:t>
      </w:r>
    </w:p>
    <w:p>
      <w:pPr>
        <w:spacing w:after="0" w:line="50" w:lineRule="exact"/>
        <w:rPr>
          <w:rFonts w:ascii="Times New Roman" w:cs="Times New Roman" w:eastAsia="Times New Roman" w:hAnsi="Times New Roman"/>
          <w:sz w:val="18"/>
          <w:szCs w:val="18"/>
          <w:color w:val="auto"/>
        </w:rPr>
      </w:pPr>
    </w:p>
    <w:p>
      <w:pPr>
        <w:ind w:left="980" w:hanging="405"/>
        <w:spacing w:after="0" w:line="224"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2023, we announced that all patent litigation brought by Neurocrine Biosciences against the companies that filed an Abbreviated New Drug Application ("ANDA") to the FDA seeking approval to market generic versions of INGREZZA prior to the expiration of the Orange Book-listed patents have been resolved. Pursuant to the terms of the respective settlement agreements, such companies have the right to sell generic versions of INGREZZA in the U.S. beginning March 1, 2038, or earlier under certain circumstances.</w:t>
      </w:r>
    </w:p>
    <w:p>
      <w:pPr>
        <w:spacing w:after="0" w:line="64" w:lineRule="exact"/>
        <w:rPr>
          <w:rFonts w:ascii="Times New Roman" w:cs="Times New Roman" w:eastAsia="Times New Roman" w:hAnsi="Times New Roman"/>
          <w:sz w:val="18"/>
          <w:szCs w:val="18"/>
          <w:color w:val="auto"/>
        </w:rPr>
      </w:pPr>
    </w:p>
    <w:p>
      <w:pPr>
        <w:ind w:left="980" w:right="400" w:hanging="405"/>
        <w:spacing w:after="0" w:line="243"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strategic partnership with Voyager Therapeutics Inc. ("Voyager") to advance multiple gene therapy programs, each enabled by Voyager's next-generation TRACER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capsids, for the treatment of neurological diseases.</w:t>
      </w:r>
    </w:p>
    <w:p>
      <w:pPr>
        <w:spacing w:after="0" w:line="1" w:lineRule="exact"/>
        <w:rPr>
          <w:rFonts w:ascii="Times New Roman" w:cs="Times New Roman" w:eastAsia="Times New Roman" w:hAnsi="Times New Roman"/>
          <w:sz w:val="18"/>
          <w:szCs w:val="18"/>
          <w:color w:val="auto"/>
        </w:rPr>
      </w:pPr>
    </w:p>
    <w:p>
      <w:pPr>
        <w:ind w:left="980" w:right="720" w:hanging="405"/>
        <w:spacing w:after="0" w:line="255" w:lineRule="auto"/>
        <w:tabs>
          <w:tab w:leader="none" w:pos="97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third quarter of 2023, we announced the FDA accepted the NDA for INGREZZA oral granules, a new sprinkle formulation of INGREZZA capsules for oral administration. The agency set a Prescription Drug User Fee Act target action date of April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Compensation Program Highlights</w:t>
      </w:r>
    </w:p>
    <w:p>
      <w:pPr>
        <w:spacing w:after="0" w:line="202" w:lineRule="exact"/>
        <w:rPr>
          <w:sz w:val="20"/>
          <w:szCs w:val="20"/>
          <w:color w:val="auto"/>
        </w:rPr>
      </w:pPr>
    </w:p>
    <w:p>
      <w:pPr>
        <w:ind w:right="520" w:firstLine="551"/>
        <w:spacing w:after="0" w:line="226" w:lineRule="auto"/>
        <w:rPr>
          <w:sz w:val="20"/>
          <w:szCs w:val="20"/>
          <w:color w:val="auto"/>
        </w:rPr>
      </w:pPr>
      <w:r>
        <w:rPr>
          <w:rFonts w:ascii="Times New Roman" w:cs="Times New Roman" w:eastAsia="Times New Roman" w:hAnsi="Times New Roman"/>
          <w:sz w:val="18"/>
          <w:szCs w:val="18"/>
          <w:color w:val="auto"/>
        </w:rPr>
        <w:t>Consistent with our goal of attracting, motivating and retaining a high-caliber executive team, our executive officer compensation program is designed to pay for performance. A summary of key compensation decisions and compensation related outcomes aligned with this philosophy are highlighted below for 2023.</w:t>
      </w:r>
    </w:p>
    <w:p>
      <w:pPr>
        <w:spacing w:after="0" w:line="61" w:lineRule="exact"/>
        <w:rPr>
          <w:sz w:val="20"/>
          <w:szCs w:val="20"/>
          <w:color w:val="auto"/>
        </w:rPr>
      </w:pPr>
    </w:p>
    <w:p>
      <w:pPr>
        <w:ind w:left="660" w:right="80" w:hanging="328"/>
        <w:spacing w:after="0" w:line="225" w:lineRule="auto"/>
        <w:tabs>
          <w:tab w:leader="none" w:pos="655"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Pay for Performance / At-Risk Pay </w:t>
      </w:r>
      <w:r>
        <w:rPr>
          <w:rFonts w:ascii="Times New Roman" w:cs="Times New Roman" w:eastAsia="Times New Roman" w:hAnsi="Times New Roman"/>
          <w:sz w:val="18"/>
          <w:szCs w:val="18"/>
          <w:color w:val="auto"/>
        </w:rPr>
        <w:t>- Our executive compensation program is designed so that a significant portion of pay is variable or “at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realized value of compensation is linked with Company performance and value delivered to stockholders. For 2023, the percentage of pay that is “at risk” for our CEO and NEOs is approximately 80% and 73%, respectively, helping us align pay with performance (refer to "Pay for Performance / At-Risk Pay" below).</w:t>
      </w:r>
    </w:p>
    <w:p>
      <w:pPr>
        <w:spacing w:after="0" w:line="182" w:lineRule="exact"/>
        <w:rPr>
          <w:rFonts w:ascii="Times New Roman" w:cs="Times New Roman" w:eastAsia="Times New Roman" w:hAnsi="Times New Roman"/>
          <w:sz w:val="18"/>
          <w:szCs w:val="18"/>
          <w:i w:val="1"/>
          <w:iCs w:val="1"/>
          <w:color w:val="auto"/>
        </w:rPr>
      </w:pPr>
    </w:p>
    <w:p>
      <w:pPr>
        <w:ind w:left="660" w:right="280" w:hanging="328"/>
        <w:spacing w:after="0" w:line="238"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Base Salary Adjustments -</w:t>
      </w:r>
      <w:r>
        <w:rPr>
          <w:rFonts w:ascii="Times New Roman" w:cs="Times New Roman" w:eastAsia="Times New Roman" w:hAnsi="Times New Roman"/>
          <w:sz w:val="18"/>
          <w:szCs w:val="18"/>
          <w:color w:val="auto"/>
        </w:rPr>
        <w:t xml:space="preserve"> Salary increases for 2023 were generally due to Company performance in 2022 and maintaining competitive market positioning relative to market data. Merit based increases for NEOs ranging from 4.5% – 11.0% were approved for 2023.</w:t>
      </w:r>
    </w:p>
    <w:p>
      <w:pPr>
        <w:spacing w:after="0" w:line="196" w:lineRule="exact"/>
        <w:rPr>
          <w:rFonts w:ascii="Times New Roman" w:cs="Times New Roman" w:eastAsia="Times New Roman" w:hAnsi="Times New Roman"/>
          <w:sz w:val="18"/>
          <w:szCs w:val="18"/>
          <w:color w:val="auto"/>
        </w:rPr>
      </w:pPr>
    </w:p>
    <w:p>
      <w:pPr>
        <w:ind w:left="660" w:right="40" w:hanging="328"/>
        <w:spacing w:after="0" w:line="225"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Annual Cash Incentives - </w:t>
      </w:r>
      <w:r>
        <w:rPr>
          <w:rFonts w:ascii="Times New Roman" w:cs="Times New Roman" w:eastAsia="Times New Roman" w:hAnsi="Times New Roman"/>
          <w:sz w:val="18"/>
          <w:szCs w:val="18"/>
          <w:color w:val="auto"/>
        </w:rPr>
        <w:t>Our annual cash award opportunity is based on corporate performance compared to pre-established corporate goals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individual performance of each executive officer. Corporate goals are selected to directly align with our specific strategic goals that we believe will create long-term stockholder value. For 2023, we achieved our corporate goals at an overall level of 110% and we paid an annual cash incentive award to our CEO at 110% of target and to our other NEOs at 110% - 121% of target.</w:t>
      </w:r>
    </w:p>
    <w:p>
      <w:pPr>
        <w:spacing w:after="0" w:line="182" w:lineRule="exact"/>
        <w:rPr>
          <w:rFonts w:ascii="Times New Roman" w:cs="Times New Roman" w:eastAsia="Times New Roman" w:hAnsi="Times New Roman"/>
          <w:sz w:val="18"/>
          <w:szCs w:val="18"/>
          <w:color w:val="auto"/>
        </w:rPr>
      </w:pPr>
    </w:p>
    <w:p>
      <w:pPr>
        <w:ind w:left="660" w:right="20" w:hanging="328"/>
        <w:spacing w:after="0" w:line="22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Long-Term Equity Awards: Equity Mix </w:t>
      </w:r>
      <w:r>
        <w:rPr>
          <w:rFonts w:ascii="Times New Roman" w:cs="Times New Roman" w:eastAsia="Times New Roman" w:hAnsi="Times New Roman"/>
          <w:sz w:val="18"/>
          <w:szCs w:val="18"/>
          <w:color w:val="auto"/>
        </w:rPr>
        <w:t>- A significant portion of our CEO’s and other NEO’s compensation is delivered in the form of long-term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awards comprised of a mix of stock options, performance-based restricted stock units ("PRSUs") and restricted stock units ("RSUs"). For our CEO, the aggregate grant date fair value of long-term equity awards granted in 2023 consisted of approximately 50% stock options, 35% PRSUs and 15% RSUs. For NEOs other than our CEO, the aggregate grant date fair value of long-term equity awards granted in 2023 consisted of approximately 55-65% stock options, 15-25% PRSUs and 15-20% RSUs.</w:t>
      </w:r>
    </w:p>
    <w:p>
      <w:pPr>
        <w:spacing w:after="0" w:line="185" w:lineRule="exact"/>
        <w:rPr>
          <w:rFonts w:ascii="Times New Roman" w:cs="Times New Roman" w:eastAsia="Times New Roman" w:hAnsi="Times New Roman"/>
          <w:sz w:val="18"/>
          <w:szCs w:val="18"/>
          <w:color w:val="auto"/>
        </w:rPr>
      </w:pPr>
    </w:p>
    <w:p>
      <w:pPr>
        <w:ind w:left="660" w:right="20" w:hanging="328"/>
        <w:spacing w:after="0" w:line="23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PRSU Payouts Linked to Performance </w:t>
      </w:r>
      <w:r>
        <w:rPr>
          <w:rFonts w:ascii="Times New Roman" w:cs="Times New Roman" w:eastAsia="Times New Roman" w:hAnsi="Times New Roman"/>
          <w:sz w:val="18"/>
          <w:szCs w:val="18"/>
          <w:color w:val="auto"/>
        </w:rPr>
        <w:t>- The performance conditions for PRSUs granted to our NEOs in 2021 with a performance period ending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2023 were not achieved and no portion of these PRSUs vested. The Compensation Committee did not take any actions to mitigate the negative impact on payouts for these awards consistent with our pay for performance philosophy.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 Actions in Connection with Say-on-Pay Vote</w:t>
      </w:r>
    </w:p>
    <w:p>
      <w:pPr>
        <w:spacing w:after="0" w:line="94" w:lineRule="exact"/>
        <w:rPr>
          <w:sz w:val="20"/>
          <w:szCs w:val="20"/>
          <w:color w:val="auto"/>
        </w:rPr>
      </w:pPr>
    </w:p>
    <w:p>
      <w:pPr>
        <w:ind w:right="40" w:firstLine="551"/>
        <w:spacing w:after="0" w:line="227" w:lineRule="auto"/>
        <w:rPr>
          <w:sz w:val="20"/>
          <w:szCs w:val="20"/>
          <w:color w:val="auto"/>
        </w:rPr>
      </w:pPr>
      <w:r>
        <w:rPr>
          <w:rFonts w:ascii="Times New Roman" w:cs="Times New Roman" w:eastAsia="Times New Roman" w:hAnsi="Times New Roman"/>
          <w:sz w:val="17"/>
          <w:szCs w:val="17"/>
          <w:color w:val="auto"/>
        </w:rPr>
        <w:t>The Compensation Committee of the Board of Directors (the “Committee”) is committed to ensuring that our executive officer compensation program is effective and aligned with our stockholders’ interests and concerns. Accordingly, critical components of our Committee’s process continue to be</w:t>
      </w:r>
    </w:p>
    <w:p>
      <w:pPr>
        <w:ind w:left="260" w:hanging="252"/>
        <w:spacing w:after="0" w:line="220" w:lineRule="auto"/>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emerging compensation “best practices”, with a focus toward companies of similar size, as measured by market capitalization and revenues,</w:t>
      </w:r>
    </w:p>
    <w:p>
      <w:pPr>
        <w:ind w:right="240" w:firstLine="8"/>
        <w:spacing w:after="0" w:line="226"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advice from our Committee’s independent compensation consultant and (3) listening and responding to feedback from our stockholders via our annual say-on-pay vote and through our stockholder outreach efforts.</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seek a say-on-pay advisory vote from our stockholders regarding our executive officer compensation program on an annual basis. Each year, the</w:t>
      </w:r>
    </w:p>
    <w:p>
      <w:pPr>
        <w:spacing w:after="0" w:line="14"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Committee considers the results of the advisory vote as it completes its annual review of each pay element and the compensation provided to our NEOs and other executive officers.</w:t>
      </w:r>
    </w:p>
    <w:p>
      <w:pPr>
        <w:sectPr>
          <w:pgSz w:w="11900" w:h="16838" w:orient="portrait"/>
          <w:cols w:equalWidth="0" w:num="1">
            <w:col w:w="11240"/>
          </w:cols>
          <w:pgMar w:left="320" w:top="112" w:right="339" w:bottom="1440" w:gutter="0" w:footer="0" w:header="0"/>
        </w:sectPr>
      </w:pP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2023 Say-on-Pay Voting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-125095</wp:posOffset>
            </wp:positionV>
            <wp:extent cx="43180" cy="18599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80" cy="185991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97155</wp:posOffset>
            </wp:positionV>
            <wp:extent cx="985520" cy="9347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8552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In 2023, we received approximately 93% of</w:t>
      </w:r>
    </w:p>
    <w:p>
      <w:pPr>
        <w:ind w:left="120"/>
        <w:spacing w:after="0" w:line="219" w:lineRule="auto"/>
        <w:rPr>
          <w:sz w:val="20"/>
          <w:szCs w:val="20"/>
          <w:color w:val="auto"/>
        </w:rPr>
      </w:pPr>
      <w:r>
        <w:rPr>
          <w:rFonts w:ascii="Times New Roman" w:cs="Times New Roman" w:eastAsia="Times New Roman" w:hAnsi="Times New Roman"/>
          <w:sz w:val="18"/>
          <w:szCs w:val="18"/>
          <w:color w:val="auto"/>
        </w:rPr>
        <w:t>votes cast in support of our 2023 executive</w:t>
      </w:r>
    </w:p>
    <w:p>
      <w:pPr>
        <w:ind w:left="560"/>
        <w:spacing w:after="0"/>
        <w:rPr>
          <w:sz w:val="20"/>
          <w:szCs w:val="20"/>
          <w:color w:val="auto"/>
        </w:rPr>
      </w:pPr>
      <w:r>
        <w:rPr>
          <w:rFonts w:ascii="Times New Roman" w:cs="Times New Roman" w:eastAsia="Times New Roman" w:hAnsi="Times New Roman"/>
          <w:sz w:val="18"/>
          <w:szCs w:val="18"/>
          <w:color w:val="auto"/>
        </w:rPr>
        <w:t>officer compensation program.</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Over the last ten years, we have received 97% (on average) of votes cast in support of our executive compensation programs. Given the significant level of stockholder support, the Committee concluded that:</w:t>
      </w:r>
    </w:p>
    <w:p>
      <w:pPr>
        <w:spacing w:after="0" w:line="189" w:lineRule="exact"/>
        <w:rPr>
          <w:sz w:val="20"/>
          <w:szCs w:val="20"/>
          <w:color w:val="auto"/>
        </w:rPr>
      </w:pPr>
    </w:p>
    <w:p>
      <w:pPr>
        <w:ind w:left="260" w:right="480" w:hanging="251"/>
        <w:spacing w:after="0" w:line="282" w:lineRule="auto"/>
        <w:tabs>
          <w:tab w:leader="none" w:pos="215" w:val="left"/>
        </w:tabs>
        <w:numPr>
          <w:ilvl w:val="0"/>
          <w:numId w:val="32"/>
        </w:numPr>
        <w:rPr>
          <w:rFonts w:ascii="MS PGothic" w:cs="MS PGothic" w:eastAsia="MS PGothic" w:hAnsi="MS PGothic"/>
          <w:sz w:val="18"/>
          <w:szCs w:val="18"/>
          <w:color w:val="auto"/>
          <w:shd w:val="clear" w:color="auto" w:fill="40AEAA"/>
        </w:rPr>
      </w:pPr>
      <w:r>
        <w:rPr>
          <w:rFonts w:ascii="Times New Roman" w:cs="Times New Roman" w:eastAsia="Times New Roman" w:hAnsi="Times New Roman"/>
          <w:sz w:val="18"/>
          <w:szCs w:val="18"/>
          <w:color w:val="auto"/>
        </w:rPr>
        <w:t>executive officer compensation program continues to align executive officer pay with stockholder interests;</w:t>
      </w:r>
    </w:p>
    <w:p>
      <w:pPr>
        <w:spacing w:after="0" w:line="161" w:lineRule="exact"/>
        <w:rPr>
          <w:rFonts w:ascii="MS PGothic" w:cs="MS PGothic" w:eastAsia="MS PGothic" w:hAnsi="MS PGothic"/>
          <w:sz w:val="18"/>
          <w:szCs w:val="18"/>
          <w:color w:val="auto"/>
          <w:shd w:val="clear" w:color="auto" w:fill="40AEAA"/>
        </w:rPr>
      </w:pPr>
    </w:p>
    <w:p>
      <w:pPr>
        <w:ind w:left="260" w:right="320" w:hanging="251"/>
        <w:spacing w:after="0" w:line="282" w:lineRule="auto"/>
        <w:tabs>
          <w:tab w:leader="none" w:pos="215" w:val="left"/>
        </w:tabs>
        <w:numPr>
          <w:ilvl w:val="0"/>
          <w:numId w:val="32"/>
        </w:numPr>
        <w:rPr>
          <w:rFonts w:ascii="MS PGothic" w:cs="MS PGothic" w:eastAsia="MS PGothic" w:hAnsi="MS PGothic"/>
          <w:sz w:val="18"/>
          <w:szCs w:val="18"/>
          <w:color w:val="auto"/>
          <w:shd w:val="clear" w:color="auto" w:fill="40AEAA"/>
        </w:rPr>
      </w:pPr>
      <w:r>
        <w:rPr>
          <w:rFonts w:ascii="Times New Roman" w:cs="Times New Roman" w:eastAsia="Times New Roman" w:hAnsi="Times New Roman"/>
          <w:sz w:val="18"/>
          <w:szCs w:val="18"/>
          <w:color w:val="auto"/>
        </w:rPr>
        <w:t>our executive officer compensation program provides competitive pay that encourages retention and effectively incentivizes performance of talented NEOs and executive officers;</w:t>
      </w:r>
    </w:p>
    <w:p>
      <w:pPr>
        <w:spacing w:after="0" w:line="188" w:lineRule="exact"/>
        <w:rPr>
          <w:rFonts w:ascii="MS PGothic" w:cs="MS PGothic" w:eastAsia="MS PGothic" w:hAnsi="MS PGothic"/>
          <w:sz w:val="18"/>
          <w:szCs w:val="18"/>
          <w:color w:val="auto"/>
          <w:shd w:val="clear" w:color="auto" w:fill="40AEAA"/>
        </w:rPr>
      </w:pPr>
    </w:p>
    <w:p>
      <w:pPr>
        <w:ind w:left="200" w:hanging="191"/>
        <w:spacing w:after="0"/>
        <w:tabs>
          <w:tab w:leader="none" w:pos="200" w:val="left"/>
        </w:tabs>
        <w:numPr>
          <w:ilvl w:val="0"/>
          <w:numId w:val="32"/>
        </w:numPr>
        <w:rPr>
          <w:rFonts w:ascii="MS PGothic" w:cs="MS PGothic" w:eastAsia="MS PGothic" w:hAnsi="MS PGothic"/>
          <w:sz w:val="18"/>
          <w:szCs w:val="18"/>
          <w:color w:val="auto"/>
          <w:shd w:val="clear" w:color="auto" w:fill="40AEAA"/>
        </w:rPr>
      </w:pPr>
      <w:r>
        <w:rPr>
          <w:rFonts w:ascii="Times New Roman" w:cs="Times New Roman" w:eastAsia="Times New Roman" w:hAnsi="Times New Roman"/>
          <w:sz w:val="18"/>
          <w:szCs w:val="18"/>
          <w:color w:val="auto"/>
        </w:rPr>
        <w:t>no significant changes to the structure of our programs are necessary; and</w:t>
      </w:r>
    </w:p>
    <w:p>
      <w:pPr>
        <w:spacing w:after="0" w:line="252" w:lineRule="exact"/>
        <w:rPr>
          <w:rFonts w:ascii="MS PGothic" w:cs="MS PGothic" w:eastAsia="MS PGothic" w:hAnsi="MS PGothic"/>
          <w:sz w:val="18"/>
          <w:szCs w:val="18"/>
          <w:color w:val="auto"/>
          <w:shd w:val="clear" w:color="auto" w:fill="40AEAA"/>
        </w:rPr>
      </w:pPr>
    </w:p>
    <w:p>
      <w:pPr>
        <w:ind w:left="260" w:right="360" w:hanging="251"/>
        <w:spacing w:after="0" w:line="312" w:lineRule="auto"/>
        <w:tabs>
          <w:tab w:leader="none" w:pos="215" w:val="left"/>
        </w:tabs>
        <w:numPr>
          <w:ilvl w:val="0"/>
          <w:numId w:val="32"/>
        </w:numPr>
        <w:rPr>
          <w:rFonts w:ascii="MS PGothic" w:cs="MS PGothic" w:eastAsia="MS PGothic" w:hAnsi="MS PGothic"/>
          <w:sz w:val="17"/>
          <w:szCs w:val="17"/>
          <w:color w:val="auto"/>
          <w:shd w:val="clear" w:color="auto" w:fill="40AEAA"/>
        </w:rPr>
      </w:pPr>
      <w:r>
        <w:rPr>
          <w:rFonts w:ascii="Times New Roman" w:cs="Times New Roman" w:eastAsia="Times New Roman" w:hAnsi="Times New Roman"/>
          <w:sz w:val="17"/>
          <w:szCs w:val="17"/>
          <w:color w:val="auto"/>
        </w:rPr>
        <w:t>the Committee will continue to consider the outcome of our say-on-pay votes and our stockholders’ views when making future compensation decisions for the NEOs and executive officers.</w:t>
      </w:r>
    </w:p>
    <w:p>
      <w:pPr>
        <w:spacing w:after="0" w:line="200" w:lineRule="exact"/>
        <w:rPr>
          <w:sz w:val="20"/>
          <w:szCs w:val="20"/>
          <w:color w:val="auto"/>
        </w:rPr>
      </w:pPr>
    </w:p>
    <w:p>
      <w:pPr>
        <w:sectPr>
          <w:pgSz w:w="11900" w:h="16838" w:orient="portrait"/>
          <w:cols w:equalWidth="0" w:num="2">
            <w:col w:w="3260" w:space="240"/>
            <w:col w:w="7740"/>
          </w:cols>
          <w:pgMar w:left="320" w:top="11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2023, we continued our stockholder engagement efforts in order to solicit feedback on a variety of topics, including sustainability and</w:t>
      </w:r>
    </w:p>
    <w:p>
      <w:pPr>
        <w:spacing w:after="0" w:line="2" w:lineRule="exact"/>
        <w:rPr>
          <w:sz w:val="20"/>
          <w:szCs w:val="20"/>
          <w:color w:val="auto"/>
        </w:rPr>
      </w:pPr>
    </w:p>
    <w:p>
      <w:pPr>
        <w:ind w:right="140"/>
        <w:spacing w:after="0" w:line="208" w:lineRule="auto"/>
        <w:rPr>
          <w:sz w:val="20"/>
          <w:szCs w:val="20"/>
          <w:color w:val="auto"/>
        </w:rPr>
      </w:pPr>
      <w:r>
        <w:rPr>
          <w:rFonts w:ascii="Times New Roman" w:cs="Times New Roman" w:eastAsia="Times New Roman" w:hAnsi="Times New Roman"/>
          <w:sz w:val="18"/>
          <w:szCs w:val="18"/>
          <w:color w:val="auto"/>
        </w:rPr>
        <w:t>executive compensation practices. We contacted a number of our largest stockholders and spoke with all stockholders that wanted to provide us with feedback. Specifically, we reached out to 21 of our largest stockholders (representing approximately 53% of the outstanding shares of our common stock) and met with stockholders representing approximately 13% of the outstanding shares of our common stock. While the engagements are primarily</w:t>
      </w:r>
    </w:p>
    <w:p>
      <w:pPr>
        <w:spacing w:after="0" w:line="2"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7"/>
          <w:szCs w:val="17"/>
          <w:color w:val="auto"/>
        </w:rPr>
        <w:t>conducted by management, Board members (including Compensation Committee members) are also available to participate, when appropriate. Overall, stockholders have expressed strong support for our sustainability and executive compensation practices. We are pleased with our say-on-pay advisory vote results and stockholder feedback, and we will continue to engage with our stockholders to ensure alignment between our executive officer compensation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and our stockholders’ interests.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for Performance / At-Risk Pay</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executive officer compensation program is designed to reward achievement of the specific strategic goals that we believe will advance our</w:t>
      </w:r>
    </w:p>
    <w:p>
      <w:pPr>
        <w:spacing w:after="0" w:line="2" w:lineRule="exact"/>
        <w:rPr>
          <w:sz w:val="20"/>
          <w:szCs w:val="20"/>
          <w:color w:val="auto"/>
        </w:rPr>
      </w:pPr>
    </w:p>
    <w:p>
      <w:pPr>
        <w:ind w:right="120"/>
        <w:spacing w:after="0" w:line="208" w:lineRule="auto"/>
        <w:rPr>
          <w:sz w:val="20"/>
          <w:szCs w:val="20"/>
          <w:color w:val="auto"/>
        </w:rPr>
      </w:pPr>
      <w:r>
        <w:rPr>
          <w:rFonts w:ascii="Times New Roman" w:cs="Times New Roman" w:eastAsia="Times New Roman" w:hAnsi="Times New Roman"/>
          <w:sz w:val="18"/>
          <w:szCs w:val="18"/>
          <w:color w:val="auto"/>
        </w:rPr>
        <w:t>business strategy and create long-term value for our stockholders. Consistent with our goal of attracting, motivating and retaining a high-caliber executive team, our executive officer compensation program is designed to pay for performance. We utilize compensation elements that meaningfully align our NEOs’ interests with those of our stockholders to create long-term value. As such, a significant portion of our Chief Executive Officer’s and other</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executive officers’ compensation is “at-risk,” performance-based compensation, in the form of long-term equity awards that have performance-based vesting criteria or have value directly dependent on the Company’s stock price (or in the case of stock options, only if the Company's stock price increases), and annual cash incentives that are only earned if we achieve pre-established corporate goals.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respect to long-term equity awards, the Committee annually considers the appropriate mix of equity awards. The Committee believes that</w:t>
      </w:r>
    </w:p>
    <w:p>
      <w:pPr>
        <w:spacing w:after="0" w:line="2"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combining performance-based vesting equity awards with time-based vesting equity awards appropriately promotes a focus on delivering sustainable long-term value to our stockholders, while also supporting the long-term retention of our executive officers.</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graphics below illustrate the primary elements of our Chief Executive Officer’s compensation mix for 2023 and the aggregate compensation</w:t>
      </w:r>
    </w:p>
    <w:p>
      <w:pPr>
        <w:spacing w:after="0" w:line="2" w:lineRule="exact"/>
        <w:rPr>
          <w:sz w:val="20"/>
          <w:szCs w:val="20"/>
          <w:color w:val="auto"/>
        </w:rPr>
      </w:pPr>
    </w:p>
    <w:p>
      <w:pPr>
        <w:ind w:right="300"/>
        <w:spacing w:after="0" w:line="226" w:lineRule="auto"/>
        <w:rPr>
          <w:sz w:val="20"/>
          <w:szCs w:val="20"/>
          <w:color w:val="auto"/>
        </w:rPr>
      </w:pPr>
      <w:r>
        <w:rPr>
          <w:rFonts w:ascii="Times New Roman" w:cs="Times New Roman" w:eastAsia="Times New Roman" w:hAnsi="Times New Roman"/>
          <w:sz w:val="18"/>
          <w:szCs w:val="18"/>
          <w:color w:val="auto"/>
        </w:rPr>
        <w:t>mix for 2023 for the other NEOs as a group. The percentages in the chart below reflect the actual base salary earned, cash incentives paid, and the grant date fair value of equity awards granted, in each case as reported in our 2023 Summary Compensation Table.</w:t>
      </w:r>
    </w:p>
    <w:p>
      <w:pPr>
        <w:spacing w:after="0" w:line="200" w:lineRule="exact"/>
        <w:rPr>
          <w:sz w:val="20"/>
          <w:szCs w:val="20"/>
          <w:color w:val="auto"/>
        </w:rPr>
      </w:pPr>
    </w:p>
    <w:p>
      <w:pPr>
        <w:spacing w:after="0" w:line="250" w:lineRule="exact"/>
        <w:rPr>
          <w:sz w:val="20"/>
          <w:szCs w:val="20"/>
          <w:color w:val="auto"/>
        </w:rPr>
      </w:pPr>
    </w:p>
    <w:p>
      <w:pPr>
        <w:ind w:left="1660"/>
        <w:spacing w:after="0"/>
        <w:tabs>
          <w:tab w:leader="none" w:pos="6840" w:val="left"/>
        </w:tabs>
        <w:rPr>
          <w:sz w:val="20"/>
          <w:szCs w:val="20"/>
          <w:color w:val="auto"/>
        </w:rPr>
      </w:pPr>
      <w:r>
        <w:rPr>
          <w:rFonts w:ascii="Times New Roman" w:cs="Times New Roman" w:eastAsia="Times New Roman" w:hAnsi="Times New Roman"/>
          <w:sz w:val="18"/>
          <w:szCs w:val="18"/>
          <w:b w:val="1"/>
          <w:bCs w:val="1"/>
          <w:color w:val="auto"/>
        </w:rPr>
        <w:t>CEO 2023 Compensation Mix</w:t>
      </w:r>
      <w:r>
        <w:rPr>
          <w:sz w:val="20"/>
          <w:szCs w:val="20"/>
          <w:color w:val="auto"/>
        </w:rPr>
        <w:tab/>
      </w:r>
      <w:r>
        <w:rPr>
          <w:rFonts w:ascii="Times New Roman" w:cs="Times New Roman" w:eastAsia="Times New Roman" w:hAnsi="Times New Roman"/>
          <w:sz w:val="17"/>
          <w:szCs w:val="17"/>
          <w:b w:val="1"/>
          <w:bCs w:val="1"/>
          <w:color w:val="auto"/>
        </w:rPr>
        <w:t>All Other NEOs 2023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80010</wp:posOffset>
            </wp:positionV>
            <wp:extent cx="6446520" cy="27946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4652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Compensation Practices</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Below are key elements of our executive officer compensation program, as well as problematic pay practices that we avoid: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179070</wp:posOffset>
            </wp:positionV>
            <wp:extent cx="257175" cy="2489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7175" cy="248920"/>
                    </a:xfrm>
                    <a:prstGeom prst="rect">
                      <a:avLst/>
                    </a:prstGeom>
                    <a:noFill/>
                  </pic:spPr>
                </pic:pic>
              </a:graphicData>
            </a:graphic>
          </wp:anchor>
        </w:drawing>
      </w:r>
    </w:p>
    <w:p>
      <w:pPr>
        <w:spacing w:after="0" w:line="2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b w:val="1"/>
          <w:bCs w:val="1"/>
          <w:color w:val="auto"/>
        </w:rPr>
        <w:t xml:space="preserve">WHAT WE DO                              </w:t>
      </w:r>
      <w:r>
        <w:rPr>
          <w:sz w:val="1"/>
          <w:szCs w:val="1"/>
          <w:color w:val="auto"/>
        </w:rPr>
        <w:drawing>
          <wp:inline distT="0" distB="0" distL="0" distR="0">
            <wp:extent cx="240030" cy="24003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0030" cy="240030"/>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 xml:space="preserve">   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149465" cy="27514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751455"/>
                    </a:xfrm>
                    <a:prstGeom prst="rect">
                      <a:avLst/>
                    </a:prstGeom>
                    <a:noFill/>
                  </pic:spPr>
                </pic:pic>
              </a:graphicData>
            </a:graphic>
          </wp:anchor>
        </w:drawing>
      </w:r>
    </w:p>
    <w:p>
      <w:pPr>
        <w:sectPr>
          <w:pgSz w:w="11900" w:h="16838" w:orient="portrait"/>
          <w:cols w:equalWidth="0" w:num="1">
            <w:col w:w="11120"/>
          </w:cols>
          <w:pgMar w:left="320" w:top="112" w:right="45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280" w:right="220" w:hanging="241"/>
        <w:spacing w:after="0" w:line="245" w:lineRule="auto"/>
        <w:tabs>
          <w:tab w:leader="none" w:pos="235" w:val="left"/>
        </w:tabs>
        <w:numPr>
          <w:ilvl w:val="0"/>
          <w:numId w:val="33"/>
        </w:numPr>
        <w:rPr>
          <w:rFonts w:ascii="MS PGothic" w:cs="MS PGothic" w:eastAsia="MS PGothic" w:hAnsi="MS PGothic"/>
          <w:sz w:val="18"/>
          <w:szCs w:val="18"/>
          <w:color w:val="33BCC9"/>
        </w:rPr>
      </w:pPr>
      <w:r>
        <w:rPr>
          <w:rFonts w:ascii="Times New Roman" w:cs="Times New Roman" w:eastAsia="Times New Roman" w:hAnsi="Times New Roman"/>
          <w:sz w:val="18"/>
          <w:szCs w:val="18"/>
          <w:color w:val="auto"/>
        </w:rPr>
        <w:t>Heavily weight our executive officer compensation toward “at risk,” performance-based compensation</w:t>
      </w:r>
    </w:p>
    <w:p>
      <w:pPr>
        <w:spacing w:after="0" w:line="9" w:lineRule="exact"/>
        <w:rPr>
          <w:rFonts w:ascii="MS PGothic" w:cs="MS PGothic" w:eastAsia="MS PGothic" w:hAnsi="MS PGothic"/>
          <w:sz w:val="18"/>
          <w:szCs w:val="18"/>
          <w:color w:val="33BCC9"/>
        </w:rPr>
      </w:pPr>
    </w:p>
    <w:p>
      <w:pPr>
        <w:ind w:left="240" w:hanging="201"/>
        <w:spacing w:after="0"/>
        <w:tabs>
          <w:tab w:leader="none" w:pos="240" w:val="left"/>
        </w:tabs>
        <w:numPr>
          <w:ilvl w:val="0"/>
          <w:numId w:val="33"/>
        </w:numPr>
        <w:rPr>
          <w:rFonts w:ascii="MS PGothic" w:cs="MS PGothic" w:eastAsia="MS PGothic" w:hAnsi="MS PGothic"/>
          <w:sz w:val="18"/>
          <w:szCs w:val="18"/>
          <w:color w:val="33BCC9"/>
        </w:rPr>
      </w:pPr>
      <w:r>
        <w:rPr>
          <w:rFonts w:ascii="Times New Roman" w:cs="Times New Roman" w:eastAsia="Times New Roman" w:hAnsi="Times New Roman"/>
          <w:sz w:val="18"/>
          <w:szCs w:val="18"/>
          <w:color w:val="auto"/>
        </w:rPr>
        <w:t>Balance short-term and long-term incentive compensation</w:t>
      </w:r>
    </w:p>
    <w:p>
      <w:pPr>
        <w:spacing w:after="0" w:line="55" w:lineRule="exact"/>
        <w:rPr>
          <w:rFonts w:ascii="MS PGothic" w:cs="MS PGothic" w:eastAsia="MS PGothic" w:hAnsi="MS PGothic"/>
          <w:sz w:val="18"/>
          <w:szCs w:val="18"/>
          <w:color w:val="33BCC9"/>
        </w:rPr>
      </w:pPr>
    </w:p>
    <w:p>
      <w:pPr>
        <w:ind w:left="240" w:hanging="201"/>
        <w:spacing w:after="0"/>
        <w:tabs>
          <w:tab w:leader="none" w:pos="240" w:val="left"/>
        </w:tabs>
        <w:numPr>
          <w:ilvl w:val="0"/>
          <w:numId w:val="33"/>
        </w:numPr>
        <w:rPr>
          <w:rFonts w:ascii="MS PGothic" w:cs="MS PGothic" w:eastAsia="MS PGothic" w:hAnsi="MS PGothic"/>
          <w:sz w:val="18"/>
          <w:szCs w:val="18"/>
          <w:color w:val="33BCC9"/>
        </w:rPr>
      </w:pPr>
      <w:r>
        <w:rPr>
          <w:rFonts w:ascii="Times New Roman" w:cs="Times New Roman" w:eastAsia="Times New Roman" w:hAnsi="Times New Roman"/>
          <w:sz w:val="18"/>
          <w:szCs w:val="18"/>
          <w:color w:val="auto"/>
        </w:rPr>
        <w:t>Use multi-year vesting for all executive officer equity awards</w:t>
      </w:r>
    </w:p>
    <w:p>
      <w:pPr>
        <w:spacing w:after="0" w:line="49" w:lineRule="exact"/>
        <w:rPr>
          <w:rFonts w:ascii="MS PGothic" w:cs="MS PGothic" w:eastAsia="MS PGothic" w:hAnsi="MS PGothic"/>
          <w:sz w:val="18"/>
          <w:szCs w:val="18"/>
          <w:color w:val="33BCC9"/>
        </w:rPr>
      </w:pPr>
    </w:p>
    <w:p>
      <w:pPr>
        <w:ind w:left="240" w:hanging="201"/>
        <w:spacing w:after="0"/>
        <w:tabs>
          <w:tab w:leader="none" w:pos="240" w:val="left"/>
        </w:tabs>
        <w:numPr>
          <w:ilvl w:val="0"/>
          <w:numId w:val="33"/>
        </w:numPr>
        <w:rPr>
          <w:rFonts w:ascii="MS PGothic" w:cs="MS PGothic" w:eastAsia="MS PGothic" w:hAnsi="MS PGothic"/>
          <w:sz w:val="17"/>
          <w:szCs w:val="17"/>
          <w:color w:val="33BCC9"/>
        </w:rPr>
      </w:pPr>
      <w:r>
        <w:rPr>
          <w:rFonts w:ascii="Times New Roman" w:cs="Times New Roman" w:eastAsia="Times New Roman" w:hAnsi="Times New Roman"/>
          <w:sz w:val="17"/>
          <w:szCs w:val="17"/>
          <w:color w:val="auto"/>
        </w:rPr>
        <w:t>Grant performance-based equity awards annually in the form of PRSUs</w:t>
      </w:r>
    </w:p>
    <w:p>
      <w:pPr>
        <w:spacing w:after="0" w:line="61" w:lineRule="exact"/>
        <w:rPr>
          <w:rFonts w:ascii="MS PGothic" w:cs="MS PGothic" w:eastAsia="MS PGothic" w:hAnsi="MS PGothic"/>
          <w:sz w:val="17"/>
          <w:szCs w:val="17"/>
          <w:color w:val="33BCC9"/>
        </w:rPr>
      </w:pPr>
    </w:p>
    <w:p>
      <w:pPr>
        <w:ind w:left="240" w:hanging="201"/>
        <w:spacing w:after="0"/>
        <w:tabs>
          <w:tab w:leader="none" w:pos="240" w:val="left"/>
        </w:tabs>
        <w:numPr>
          <w:ilvl w:val="0"/>
          <w:numId w:val="33"/>
        </w:numPr>
        <w:rPr>
          <w:rFonts w:ascii="MS PGothic" w:cs="MS PGothic" w:eastAsia="MS PGothic" w:hAnsi="MS PGothic"/>
          <w:sz w:val="18"/>
          <w:szCs w:val="18"/>
          <w:color w:val="33BCC9"/>
        </w:rPr>
      </w:pPr>
      <w:r>
        <w:rPr>
          <w:rFonts w:ascii="Times New Roman" w:cs="Times New Roman" w:eastAsia="Times New Roman" w:hAnsi="Times New Roman"/>
          <w:sz w:val="18"/>
          <w:szCs w:val="18"/>
          <w:color w:val="auto"/>
        </w:rPr>
        <w:t>Have an incentive compensation recoupment or clawback policy</w:t>
      </w:r>
    </w:p>
    <w:p>
      <w:pPr>
        <w:spacing w:after="0" w:line="36" w:lineRule="exact"/>
        <w:rPr>
          <w:rFonts w:ascii="MS PGothic" w:cs="MS PGothic" w:eastAsia="MS PGothic" w:hAnsi="MS PGothic"/>
          <w:sz w:val="18"/>
          <w:szCs w:val="18"/>
          <w:color w:val="33BCC9"/>
        </w:rPr>
      </w:pPr>
    </w:p>
    <w:p>
      <w:pPr>
        <w:ind w:left="280" w:right="340" w:hanging="241"/>
        <w:spacing w:after="0" w:line="248" w:lineRule="auto"/>
        <w:tabs>
          <w:tab w:leader="none" w:pos="235" w:val="left"/>
        </w:tabs>
        <w:numPr>
          <w:ilvl w:val="0"/>
          <w:numId w:val="33"/>
        </w:numPr>
        <w:rPr>
          <w:rFonts w:ascii="MS PGothic" w:cs="MS PGothic" w:eastAsia="MS PGothic" w:hAnsi="MS PGothic"/>
          <w:sz w:val="17"/>
          <w:szCs w:val="17"/>
          <w:color w:val="33BCC9"/>
        </w:rPr>
      </w:pPr>
      <w:r>
        <w:rPr>
          <w:rFonts w:ascii="Times New Roman" w:cs="Times New Roman" w:eastAsia="Times New Roman" w:hAnsi="Times New Roman"/>
          <w:sz w:val="17"/>
          <w:szCs w:val="17"/>
          <w:color w:val="auto"/>
        </w:rPr>
        <w:t>Structure our executive officer compensation program to minimize inappropriate risk-taking and encourage appropriate risk-taking</w:t>
      </w:r>
    </w:p>
    <w:p>
      <w:pPr>
        <w:spacing w:after="0" w:line="22" w:lineRule="exact"/>
        <w:rPr>
          <w:rFonts w:ascii="MS PGothic" w:cs="MS PGothic" w:eastAsia="MS PGothic" w:hAnsi="MS PGothic"/>
          <w:sz w:val="17"/>
          <w:szCs w:val="17"/>
          <w:color w:val="33BCC9"/>
        </w:rPr>
      </w:pPr>
    </w:p>
    <w:p>
      <w:pPr>
        <w:ind w:left="240" w:hanging="201"/>
        <w:spacing w:after="0"/>
        <w:tabs>
          <w:tab w:leader="none" w:pos="240" w:val="left"/>
        </w:tabs>
        <w:numPr>
          <w:ilvl w:val="0"/>
          <w:numId w:val="33"/>
        </w:numPr>
        <w:rPr>
          <w:rFonts w:ascii="MS PGothic" w:cs="MS PGothic" w:eastAsia="MS PGothic" w:hAnsi="MS PGothic"/>
          <w:sz w:val="18"/>
          <w:szCs w:val="18"/>
          <w:color w:val="33BCC9"/>
        </w:rPr>
      </w:pPr>
      <w:r>
        <w:rPr>
          <w:rFonts w:ascii="Times New Roman" w:cs="Times New Roman" w:eastAsia="Times New Roman" w:hAnsi="Times New Roman"/>
          <w:sz w:val="18"/>
          <w:szCs w:val="18"/>
          <w:color w:val="auto"/>
        </w:rPr>
        <w:t>Cap annual cash incentives at a maximum payout amount</w:t>
      </w:r>
    </w:p>
    <w:p>
      <w:pPr>
        <w:spacing w:after="0" w:line="55" w:lineRule="exact"/>
        <w:rPr>
          <w:rFonts w:ascii="MS PGothic" w:cs="MS PGothic" w:eastAsia="MS PGothic" w:hAnsi="MS PGothic"/>
          <w:sz w:val="18"/>
          <w:szCs w:val="18"/>
          <w:color w:val="33BCC9"/>
        </w:rPr>
      </w:pPr>
    </w:p>
    <w:p>
      <w:pPr>
        <w:ind w:left="280" w:right="20" w:hanging="241"/>
        <w:spacing w:after="0" w:line="223" w:lineRule="auto"/>
        <w:tabs>
          <w:tab w:leader="none" w:pos="235" w:val="left"/>
        </w:tabs>
        <w:numPr>
          <w:ilvl w:val="0"/>
          <w:numId w:val="33"/>
        </w:numPr>
        <w:rPr>
          <w:rFonts w:ascii="MS PGothic" w:cs="MS PGothic" w:eastAsia="MS PGothic" w:hAnsi="MS PGothic"/>
          <w:sz w:val="18"/>
          <w:szCs w:val="18"/>
          <w:color w:val="33BCC9"/>
        </w:rPr>
      </w:pPr>
      <w:r>
        <w:rPr>
          <w:rFonts w:ascii="Times New Roman" w:cs="Times New Roman" w:eastAsia="Times New Roman" w:hAnsi="Times New Roman"/>
          <w:sz w:val="18"/>
          <w:szCs w:val="18"/>
          <w:color w:val="auto"/>
        </w:rPr>
        <w:t>Select peer companies that we compete with for executive officer talent, have a similar business and are of similar size as us, and review their pay practices</w:t>
      </w:r>
    </w:p>
    <w:p>
      <w:pPr>
        <w:spacing w:after="0" w:line="24" w:lineRule="exact"/>
        <w:rPr>
          <w:rFonts w:ascii="MS PGothic" w:cs="MS PGothic" w:eastAsia="MS PGothic" w:hAnsi="MS PGothic"/>
          <w:sz w:val="18"/>
          <w:szCs w:val="18"/>
          <w:color w:val="33BCC9"/>
        </w:rPr>
      </w:pPr>
    </w:p>
    <w:p>
      <w:pPr>
        <w:ind w:left="280" w:right="160" w:hanging="241"/>
        <w:spacing w:after="0" w:line="237" w:lineRule="auto"/>
        <w:tabs>
          <w:tab w:leader="none" w:pos="235" w:val="left"/>
        </w:tabs>
        <w:numPr>
          <w:ilvl w:val="0"/>
          <w:numId w:val="33"/>
        </w:numPr>
        <w:rPr>
          <w:rFonts w:ascii="MS PGothic" w:cs="MS PGothic" w:eastAsia="MS PGothic" w:hAnsi="MS PGothic"/>
          <w:sz w:val="18"/>
          <w:szCs w:val="18"/>
          <w:color w:val="33BCC9"/>
        </w:rPr>
      </w:pPr>
      <w:r>
        <w:rPr>
          <w:rFonts w:ascii="Times New Roman" w:cs="Times New Roman" w:eastAsia="Times New Roman" w:hAnsi="Times New Roman"/>
          <w:sz w:val="18"/>
          <w:szCs w:val="18"/>
          <w:color w:val="auto"/>
        </w:rPr>
        <w:t>Utilize an independent compensation consulting firm to facilitate pay assessments and review best practices</w:t>
      </w:r>
    </w:p>
    <w:p>
      <w:pPr>
        <w:spacing w:after="0" w:line="23" w:lineRule="exact"/>
        <w:rPr>
          <w:rFonts w:ascii="MS PGothic" w:cs="MS PGothic" w:eastAsia="MS PGothic" w:hAnsi="MS PGothic"/>
          <w:sz w:val="18"/>
          <w:szCs w:val="18"/>
          <w:color w:val="33BCC9"/>
        </w:rPr>
      </w:pPr>
    </w:p>
    <w:p>
      <w:pPr>
        <w:ind w:left="280" w:right="240" w:hanging="241"/>
        <w:spacing w:after="0" w:line="237" w:lineRule="auto"/>
        <w:tabs>
          <w:tab w:leader="none" w:pos="235" w:val="left"/>
        </w:tabs>
        <w:numPr>
          <w:ilvl w:val="0"/>
          <w:numId w:val="33"/>
        </w:numPr>
        <w:rPr>
          <w:rFonts w:ascii="MS PGothic" w:cs="MS PGothic" w:eastAsia="MS PGothic" w:hAnsi="MS PGothic"/>
          <w:sz w:val="18"/>
          <w:szCs w:val="18"/>
          <w:color w:val="33BCC9"/>
        </w:rPr>
      </w:pPr>
      <w:r>
        <w:rPr>
          <w:rFonts w:ascii="Times New Roman" w:cs="Times New Roman" w:eastAsia="Times New Roman" w:hAnsi="Times New Roman"/>
          <w:sz w:val="18"/>
          <w:szCs w:val="18"/>
          <w:color w:val="auto"/>
        </w:rPr>
        <w:t>Have meaningful equity ownership guidelines for executive officers and the Board of Directors</w:t>
      </w:r>
    </w:p>
    <w:p>
      <w:pPr>
        <w:spacing w:after="0" w:line="23" w:lineRule="exact"/>
        <w:rPr>
          <w:rFonts w:ascii="MS PGothic" w:cs="MS PGothic" w:eastAsia="MS PGothic" w:hAnsi="MS PGothic"/>
          <w:sz w:val="18"/>
          <w:szCs w:val="18"/>
          <w:color w:val="33BCC9"/>
        </w:rPr>
      </w:pPr>
    </w:p>
    <w:p>
      <w:pPr>
        <w:ind w:left="240" w:hanging="201"/>
        <w:spacing w:after="0"/>
        <w:tabs>
          <w:tab w:leader="none" w:pos="240" w:val="left"/>
        </w:tabs>
        <w:numPr>
          <w:ilvl w:val="0"/>
          <w:numId w:val="33"/>
        </w:numPr>
        <w:rPr>
          <w:rFonts w:ascii="MS PGothic" w:cs="MS PGothic" w:eastAsia="MS PGothic" w:hAnsi="MS PGothic"/>
          <w:sz w:val="18"/>
          <w:szCs w:val="18"/>
          <w:color w:val="33BCC9"/>
        </w:rPr>
      </w:pPr>
      <w:r>
        <w:rPr>
          <w:rFonts w:ascii="Times New Roman" w:cs="Times New Roman" w:eastAsia="Times New Roman" w:hAnsi="Times New Roman"/>
          <w:sz w:val="18"/>
          <w:szCs w:val="18"/>
          <w:color w:val="auto"/>
        </w:rPr>
        <w:t>Hold annual say-on-pay advisory vote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ind w:left="150" w:hanging="150"/>
        <w:spacing w:after="0"/>
        <w:tabs>
          <w:tab w:leader="none" w:pos="150" w:val="left"/>
        </w:tabs>
        <w:numPr>
          <w:ilvl w:val="0"/>
          <w:numId w:val="34"/>
        </w:numPr>
        <w:rPr>
          <w:rFonts w:ascii="Times New Roman" w:cs="Times New Roman" w:eastAsia="Times New Roman" w:hAnsi="Times New Roman"/>
          <w:sz w:val="18"/>
          <w:szCs w:val="18"/>
          <w:b w:val="1"/>
          <w:bCs w:val="1"/>
          <w:i w:val="1"/>
          <w:iCs w:val="1"/>
          <w:color w:val="B78E00"/>
        </w:rPr>
      </w:pPr>
      <w:r>
        <w:rPr>
          <w:rFonts w:ascii="Times New Roman" w:cs="Times New Roman" w:eastAsia="Times New Roman" w:hAnsi="Times New Roman"/>
          <w:sz w:val="18"/>
          <w:szCs w:val="18"/>
          <w:color w:val="auto"/>
        </w:rPr>
        <w:t>Provide guaranteed bonuses or base salary increases</w:t>
      </w:r>
    </w:p>
    <w:p>
      <w:pPr>
        <w:spacing w:after="0" w:line="49" w:lineRule="exact"/>
        <w:rPr>
          <w:rFonts w:ascii="Times New Roman" w:cs="Times New Roman" w:eastAsia="Times New Roman" w:hAnsi="Times New Roman"/>
          <w:sz w:val="18"/>
          <w:szCs w:val="18"/>
          <w:b w:val="1"/>
          <w:bCs w:val="1"/>
          <w:i w:val="1"/>
          <w:iCs w:val="1"/>
          <w:color w:val="B78E00"/>
        </w:rPr>
      </w:pPr>
    </w:p>
    <w:p>
      <w:pPr>
        <w:ind w:left="150" w:hanging="150"/>
        <w:spacing w:after="0"/>
        <w:tabs>
          <w:tab w:leader="none" w:pos="150" w:val="left"/>
        </w:tabs>
        <w:numPr>
          <w:ilvl w:val="0"/>
          <w:numId w:val="34"/>
        </w:numPr>
        <w:rPr>
          <w:rFonts w:ascii="Times New Roman" w:cs="Times New Roman" w:eastAsia="Times New Roman" w:hAnsi="Times New Roman"/>
          <w:sz w:val="18"/>
          <w:szCs w:val="18"/>
          <w:b w:val="1"/>
          <w:bCs w:val="1"/>
          <w:i w:val="1"/>
          <w:iCs w:val="1"/>
          <w:color w:val="B78E00"/>
        </w:rPr>
      </w:pPr>
      <w:r>
        <w:rPr>
          <w:rFonts w:ascii="Times New Roman" w:cs="Times New Roman" w:eastAsia="Times New Roman" w:hAnsi="Times New Roman"/>
          <w:sz w:val="18"/>
          <w:szCs w:val="18"/>
          <w:color w:val="auto"/>
        </w:rPr>
        <w:t>Allow for the repricing of stock options without stockholder approval</w:t>
      </w:r>
    </w:p>
    <w:p>
      <w:pPr>
        <w:spacing w:after="0" w:line="49" w:lineRule="exact"/>
        <w:rPr>
          <w:rFonts w:ascii="Times New Roman" w:cs="Times New Roman" w:eastAsia="Times New Roman" w:hAnsi="Times New Roman"/>
          <w:sz w:val="18"/>
          <w:szCs w:val="18"/>
          <w:b w:val="1"/>
          <w:bCs w:val="1"/>
          <w:i w:val="1"/>
          <w:iCs w:val="1"/>
          <w:color w:val="B78E00"/>
        </w:rPr>
      </w:pPr>
    </w:p>
    <w:p>
      <w:pPr>
        <w:ind w:left="150" w:hanging="150"/>
        <w:spacing w:after="0"/>
        <w:tabs>
          <w:tab w:leader="none" w:pos="150" w:val="left"/>
        </w:tabs>
        <w:numPr>
          <w:ilvl w:val="0"/>
          <w:numId w:val="34"/>
        </w:numPr>
        <w:rPr>
          <w:rFonts w:ascii="Times New Roman" w:cs="Times New Roman" w:eastAsia="Times New Roman" w:hAnsi="Times New Roman"/>
          <w:sz w:val="18"/>
          <w:szCs w:val="18"/>
          <w:b w:val="1"/>
          <w:bCs w:val="1"/>
          <w:i w:val="1"/>
          <w:iCs w:val="1"/>
          <w:color w:val="B78E00"/>
        </w:rPr>
      </w:pPr>
      <w:r>
        <w:rPr>
          <w:rFonts w:ascii="Times New Roman" w:cs="Times New Roman" w:eastAsia="Times New Roman" w:hAnsi="Times New Roman"/>
          <w:sz w:val="18"/>
          <w:szCs w:val="18"/>
          <w:color w:val="auto"/>
        </w:rPr>
        <w:t>Pay dividends or dividend equivalents on unearned shares</w:t>
      </w:r>
    </w:p>
    <w:p>
      <w:pPr>
        <w:spacing w:after="0" w:line="36" w:lineRule="exact"/>
        <w:rPr>
          <w:rFonts w:ascii="Times New Roman" w:cs="Times New Roman" w:eastAsia="Times New Roman" w:hAnsi="Times New Roman"/>
          <w:sz w:val="18"/>
          <w:szCs w:val="18"/>
          <w:b w:val="1"/>
          <w:bCs w:val="1"/>
          <w:i w:val="1"/>
          <w:iCs w:val="1"/>
          <w:color w:val="B78E00"/>
        </w:rPr>
      </w:pPr>
    </w:p>
    <w:p>
      <w:pPr>
        <w:ind w:left="250" w:right="20" w:hanging="250"/>
        <w:spacing w:after="0" w:line="248" w:lineRule="auto"/>
        <w:tabs>
          <w:tab w:leader="none" w:pos="154" w:val="left"/>
        </w:tabs>
        <w:numPr>
          <w:ilvl w:val="0"/>
          <w:numId w:val="34"/>
        </w:numPr>
        <w:rPr>
          <w:rFonts w:ascii="Times New Roman" w:cs="Times New Roman" w:eastAsia="Times New Roman" w:hAnsi="Times New Roman"/>
          <w:sz w:val="18"/>
          <w:szCs w:val="18"/>
          <w:b w:val="1"/>
          <w:bCs w:val="1"/>
          <w:i w:val="1"/>
          <w:iCs w:val="1"/>
          <w:color w:val="B78E00"/>
        </w:rPr>
      </w:pPr>
      <w:r>
        <w:rPr>
          <w:rFonts w:ascii="Times New Roman" w:cs="Times New Roman" w:eastAsia="Times New Roman" w:hAnsi="Times New Roman"/>
          <w:sz w:val="18"/>
          <w:szCs w:val="18"/>
          <w:color w:val="auto"/>
        </w:rPr>
        <w:t>Permit hedging or other forms of speculative transactions by employees or directors</w:t>
      </w:r>
    </w:p>
    <w:p>
      <w:pPr>
        <w:spacing w:after="0" w:line="4" w:lineRule="exact"/>
        <w:rPr>
          <w:rFonts w:ascii="Times New Roman" w:cs="Times New Roman" w:eastAsia="Times New Roman" w:hAnsi="Times New Roman"/>
          <w:sz w:val="18"/>
          <w:szCs w:val="18"/>
          <w:b w:val="1"/>
          <w:bCs w:val="1"/>
          <w:i w:val="1"/>
          <w:iCs w:val="1"/>
          <w:color w:val="B78E00"/>
        </w:rPr>
      </w:pPr>
    </w:p>
    <w:p>
      <w:pPr>
        <w:ind w:left="150" w:hanging="150"/>
        <w:spacing w:after="0"/>
        <w:tabs>
          <w:tab w:leader="none" w:pos="150" w:val="left"/>
        </w:tabs>
        <w:numPr>
          <w:ilvl w:val="0"/>
          <w:numId w:val="34"/>
        </w:numPr>
        <w:rPr>
          <w:rFonts w:ascii="Times New Roman" w:cs="Times New Roman" w:eastAsia="Times New Roman" w:hAnsi="Times New Roman"/>
          <w:sz w:val="18"/>
          <w:szCs w:val="18"/>
          <w:b w:val="1"/>
          <w:bCs w:val="1"/>
          <w:i w:val="1"/>
          <w:iCs w:val="1"/>
          <w:color w:val="B78E00"/>
        </w:rPr>
      </w:pPr>
      <w:r>
        <w:rPr>
          <w:rFonts w:ascii="Times New Roman" w:cs="Times New Roman" w:eastAsia="Times New Roman" w:hAnsi="Times New Roman"/>
          <w:sz w:val="18"/>
          <w:szCs w:val="18"/>
          <w:color w:val="auto"/>
        </w:rPr>
        <w:t>Permit pledging by employees or directors</w:t>
      </w:r>
    </w:p>
    <w:p>
      <w:pPr>
        <w:spacing w:after="0" w:line="49" w:lineRule="exact"/>
        <w:rPr>
          <w:rFonts w:ascii="Times New Roman" w:cs="Times New Roman" w:eastAsia="Times New Roman" w:hAnsi="Times New Roman"/>
          <w:sz w:val="18"/>
          <w:szCs w:val="18"/>
          <w:b w:val="1"/>
          <w:bCs w:val="1"/>
          <w:i w:val="1"/>
          <w:iCs w:val="1"/>
          <w:color w:val="B78E00"/>
        </w:rPr>
      </w:pPr>
    </w:p>
    <w:p>
      <w:pPr>
        <w:ind w:left="150" w:hanging="150"/>
        <w:spacing w:after="0"/>
        <w:tabs>
          <w:tab w:leader="none" w:pos="150" w:val="left"/>
        </w:tabs>
        <w:numPr>
          <w:ilvl w:val="0"/>
          <w:numId w:val="34"/>
        </w:numPr>
        <w:rPr>
          <w:rFonts w:ascii="Times New Roman" w:cs="Times New Roman" w:eastAsia="Times New Roman" w:hAnsi="Times New Roman"/>
          <w:sz w:val="18"/>
          <w:szCs w:val="18"/>
          <w:b w:val="1"/>
          <w:bCs w:val="1"/>
          <w:i w:val="1"/>
          <w:iCs w:val="1"/>
          <w:color w:val="B78E00"/>
        </w:rPr>
      </w:pPr>
      <w:r>
        <w:rPr>
          <w:rFonts w:ascii="Times New Roman" w:cs="Times New Roman" w:eastAsia="Times New Roman" w:hAnsi="Times New Roman"/>
          <w:sz w:val="18"/>
          <w:szCs w:val="18"/>
          <w:color w:val="auto"/>
        </w:rPr>
        <w:t>Provide single-trigger change in control benefits</w:t>
      </w:r>
    </w:p>
    <w:p>
      <w:pPr>
        <w:spacing w:after="0" w:line="36" w:lineRule="exact"/>
        <w:rPr>
          <w:rFonts w:ascii="Times New Roman" w:cs="Times New Roman" w:eastAsia="Times New Roman" w:hAnsi="Times New Roman"/>
          <w:sz w:val="18"/>
          <w:szCs w:val="18"/>
          <w:b w:val="1"/>
          <w:bCs w:val="1"/>
          <w:i w:val="1"/>
          <w:iCs w:val="1"/>
          <w:color w:val="B78E00"/>
        </w:rPr>
      </w:pPr>
    </w:p>
    <w:p>
      <w:pPr>
        <w:ind w:left="250" w:right="180" w:hanging="250"/>
        <w:spacing w:after="0" w:line="231" w:lineRule="auto"/>
        <w:tabs>
          <w:tab w:leader="none" w:pos="154" w:val="left"/>
        </w:tabs>
        <w:numPr>
          <w:ilvl w:val="0"/>
          <w:numId w:val="34"/>
        </w:numPr>
        <w:rPr>
          <w:rFonts w:ascii="Times New Roman" w:cs="Times New Roman" w:eastAsia="Times New Roman" w:hAnsi="Times New Roman"/>
          <w:sz w:val="18"/>
          <w:szCs w:val="18"/>
          <w:b w:val="1"/>
          <w:bCs w:val="1"/>
          <w:i w:val="1"/>
          <w:iCs w:val="1"/>
          <w:color w:val="B78E00"/>
        </w:rPr>
      </w:pPr>
      <w:r>
        <w:rPr>
          <w:rFonts w:ascii="Times New Roman" w:cs="Times New Roman" w:eastAsia="Times New Roman" w:hAnsi="Times New Roman"/>
          <w:sz w:val="18"/>
          <w:szCs w:val="18"/>
          <w:color w:val="auto"/>
        </w:rPr>
        <w:t>Include gross-ups in executive employment agreements or change-in-control arrangements (excluding the Chief Executive Officer's employment agreement, which was last amended in 2007)</w:t>
      </w:r>
    </w:p>
    <w:p>
      <w:pPr>
        <w:spacing w:after="0" w:line="23" w:lineRule="exact"/>
        <w:rPr>
          <w:rFonts w:ascii="Times New Roman" w:cs="Times New Roman" w:eastAsia="Times New Roman" w:hAnsi="Times New Roman"/>
          <w:sz w:val="18"/>
          <w:szCs w:val="18"/>
          <w:b w:val="1"/>
          <w:bCs w:val="1"/>
          <w:i w:val="1"/>
          <w:iCs w:val="1"/>
          <w:color w:val="B78E00"/>
        </w:rPr>
      </w:pPr>
    </w:p>
    <w:p>
      <w:pPr>
        <w:ind w:left="150" w:hanging="150"/>
        <w:spacing w:after="0"/>
        <w:tabs>
          <w:tab w:leader="none" w:pos="150" w:val="left"/>
        </w:tabs>
        <w:numPr>
          <w:ilvl w:val="0"/>
          <w:numId w:val="34"/>
        </w:numPr>
        <w:rPr>
          <w:rFonts w:ascii="Times New Roman" w:cs="Times New Roman" w:eastAsia="Times New Roman" w:hAnsi="Times New Roman"/>
          <w:sz w:val="18"/>
          <w:szCs w:val="18"/>
          <w:b w:val="1"/>
          <w:bCs w:val="1"/>
          <w:i w:val="1"/>
          <w:iCs w:val="1"/>
          <w:color w:val="B78E00"/>
        </w:rPr>
      </w:pPr>
      <w:r>
        <w:rPr>
          <w:rFonts w:ascii="Times New Roman" w:cs="Times New Roman" w:eastAsia="Times New Roman" w:hAnsi="Times New Roman"/>
          <w:sz w:val="18"/>
          <w:szCs w:val="18"/>
          <w:color w:val="auto"/>
        </w:rPr>
        <w:t>Provide excessive perquisites to our executive officers</w:t>
      </w:r>
    </w:p>
    <w:p>
      <w:pPr>
        <w:spacing w:after="0" w:line="36" w:lineRule="exact"/>
        <w:rPr>
          <w:rFonts w:ascii="Times New Roman" w:cs="Times New Roman" w:eastAsia="Times New Roman" w:hAnsi="Times New Roman"/>
          <w:sz w:val="18"/>
          <w:szCs w:val="18"/>
          <w:b w:val="1"/>
          <w:bCs w:val="1"/>
          <w:i w:val="1"/>
          <w:iCs w:val="1"/>
          <w:color w:val="B78E00"/>
        </w:rPr>
      </w:pPr>
    </w:p>
    <w:p>
      <w:pPr>
        <w:ind w:left="250" w:right="40" w:hanging="250"/>
        <w:spacing w:after="0" w:line="250" w:lineRule="auto"/>
        <w:tabs>
          <w:tab w:leader="none" w:pos="154" w:val="left"/>
        </w:tabs>
        <w:numPr>
          <w:ilvl w:val="0"/>
          <w:numId w:val="34"/>
        </w:numPr>
        <w:rPr>
          <w:rFonts w:ascii="Times New Roman" w:cs="Times New Roman" w:eastAsia="Times New Roman" w:hAnsi="Times New Roman"/>
          <w:sz w:val="18"/>
          <w:szCs w:val="18"/>
          <w:b w:val="1"/>
          <w:bCs w:val="1"/>
          <w:i w:val="1"/>
          <w:iCs w:val="1"/>
          <w:color w:val="B78E00"/>
        </w:rPr>
      </w:pPr>
      <w:r>
        <w:rPr>
          <w:rFonts w:ascii="Times New Roman" w:cs="Times New Roman" w:eastAsia="Times New Roman" w:hAnsi="Times New Roman"/>
          <w:sz w:val="18"/>
          <w:szCs w:val="18"/>
          <w:color w:val="auto"/>
        </w:rPr>
        <w:t>Provide retirement or pension benefits to our executive officers that are not available to employees generally</w:t>
      </w:r>
    </w:p>
    <w:p>
      <w:pPr>
        <w:spacing w:after="0" w:line="1931" w:lineRule="exact"/>
        <w:rPr>
          <w:sz w:val="20"/>
          <w:szCs w:val="20"/>
          <w:color w:val="auto"/>
        </w:rPr>
      </w:pPr>
    </w:p>
    <w:p>
      <w:pPr>
        <w:sectPr>
          <w:pgSz w:w="11900" w:h="16838" w:orient="portrait"/>
          <w:cols w:equalWidth="0" w:num="2">
            <w:col w:w="5380" w:space="410"/>
            <w:col w:w="5330"/>
          </w:cols>
          <w:pgMar w:left="320" w:top="112" w:right="459" w:bottom="1440" w:gutter="0" w:footer="0" w:header="0"/>
          <w:type w:val="continuous"/>
        </w:sectPr>
      </w:pPr>
    </w:p>
    <w:p>
      <w:pPr>
        <w:ind w:right="200" w:firstLine="551"/>
        <w:spacing w:after="0" w:line="236" w:lineRule="auto"/>
        <w:rPr>
          <w:sz w:val="20"/>
          <w:szCs w:val="20"/>
          <w:color w:val="auto"/>
        </w:rPr>
      </w:pPr>
      <w:r>
        <w:rPr>
          <w:rFonts w:ascii="Times New Roman" w:cs="Times New Roman" w:eastAsia="Times New Roman" w:hAnsi="Times New Roman"/>
          <w:sz w:val="17"/>
          <w:szCs w:val="17"/>
          <w:color w:val="auto"/>
        </w:rPr>
        <w:t>As discussed in greater detail below, the Committee takes into consideration a peer group, survey data and advice from an independent compensation consultant when setting the compensation philosophy and compensation structure for the Company. The Committee’s complete roles and</w:t>
      </w:r>
    </w:p>
    <w:p>
      <w:pPr>
        <w:ind w:right="460"/>
        <w:spacing w:after="0" w:line="218" w:lineRule="auto"/>
        <w:rPr>
          <w:sz w:val="20"/>
          <w:szCs w:val="20"/>
          <w:color w:val="auto"/>
        </w:rPr>
      </w:pPr>
      <w:r>
        <w:rPr>
          <w:rFonts w:ascii="Times New Roman" w:cs="Times New Roman" w:eastAsia="Times New Roman" w:hAnsi="Times New Roman"/>
          <w:sz w:val="18"/>
          <w:szCs w:val="18"/>
          <w:color w:val="auto"/>
        </w:rPr>
        <w:t xml:space="preserve">responsibilities are set forth in a written charter, which was adopted by the Board of Directors and is available at </w:t>
      </w:r>
      <w:r>
        <w:rPr>
          <w:rFonts w:ascii="Times New Roman" w:cs="Times New Roman" w:eastAsia="Times New Roman" w:hAnsi="Times New Roman"/>
          <w:sz w:val="18"/>
          <w:szCs w:val="18"/>
          <w:i w:val="1"/>
          <w:iCs w:val="1"/>
          <w:color w:val="auto"/>
        </w:rPr>
        <w:t>http://www.neurocrine.com/investors/corporate-governance/</w:t>
      </w:r>
      <w:r>
        <w:rPr>
          <w:rFonts w:ascii="Times New Roman" w:cs="Times New Roman" w:eastAsia="Times New Roman" w:hAnsi="Times New Roman"/>
          <w:sz w:val="18"/>
          <w:szCs w:val="18"/>
          <w:color w:val="auto"/>
        </w:rPr>
        <w:t>. Some of the significant roles and responsibilities of the Committee include reviewing,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revising, and approving:</w:t>
      </w:r>
    </w:p>
    <w:p>
      <w:pPr>
        <w:spacing w:after="0" w:line="172" w:lineRule="exact"/>
        <w:rPr>
          <w:sz w:val="20"/>
          <w:szCs w:val="20"/>
          <w:color w:val="auto"/>
        </w:rPr>
      </w:pPr>
    </w:p>
    <w:p>
      <w:pPr>
        <w:ind w:left="1060" w:hanging="323"/>
        <w:spacing w:after="0"/>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philosophy of the Company;</w:t>
      </w:r>
    </w:p>
    <w:p>
      <w:pPr>
        <w:spacing w:after="0" w:line="27" w:lineRule="exact"/>
        <w:rPr>
          <w:rFonts w:ascii="Times New Roman" w:cs="Times New Roman" w:eastAsia="Times New Roman" w:hAnsi="Times New Roman"/>
          <w:sz w:val="18"/>
          <w:szCs w:val="18"/>
          <w:color w:val="auto"/>
        </w:rPr>
      </w:pPr>
    </w:p>
    <w:p>
      <w:pPr>
        <w:ind w:left="1060" w:right="140" w:hanging="323"/>
        <w:spacing w:after="0" w:line="234" w:lineRule="auto"/>
        <w:tabs>
          <w:tab w:leader="none" w:pos="10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goals and objectives relating to the compensation of the Company’s employees, including executive officers, and evaluating the performance of the Company, and its executive officers, in light of these corporate goals and objectives;</w:t>
      </w:r>
    </w:p>
    <w:p>
      <w:pPr>
        <w:spacing w:after="0" w:line="1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for all executive officers, including perquisite benefits, if any;</w:t>
      </w:r>
    </w:p>
    <w:p>
      <w:pPr>
        <w:spacing w:after="0" w:line="27"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promotions to executive officer positions and the hiring of all new executive officers, including employment agreements;</w:t>
      </w:r>
    </w:p>
    <w:p>
      <w:pPr>
        <w:spacing w:after="0" w:line="22" w:lineRule="exact"/>
        <w:rPr>
          <w:rFonts w:ascii="Times New Roman" w:cs="Times New Roman" w:eastAsia="Times New Roman" w:hAnsi="Times New Roman"/>
          <w:sz w:val="18"/>
          <w:szCs w:val="18"/>
          <w:color w:val="auto"/>
        </w:rPr>
      </w:pPr>
    </w:p>
    <w:p>
      <w:pPr>
        <w:ind w:left="1060" w:hanging="323"/>
        <w:spacing w:after="0" w:line="234" w:lineRule="auto"/>
        <w:tabs>
          <w:tab w:leader="none" w:pos="10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to the full Board of Directors regarding all director compensation by taking into consideration peer group data and advice from an independent compensation consultant;</w:t>
      </w:r>
    </w:p>
    <w:p>
      <w:pPr>
        <w:spacing w:after="0" w:line="10" w:lineRule="exact"/>
        <w:rPr>
          <w:rFonts w:ascii="Times New Roman" w:cs="Times New Roman" w:eastAsia="Times New Roman" w:hAnsi="Times New Roman"/>
          <w:sz w:val="18"/>
          <w:szCs w:val="18"/>
          <w:color w:val="auto"/>
        </w:rPr>
      </w:pPr>
    </w:p>
    <w:p>
      <w:pPr>
        <w:ind w:left="1060" w:right="80" w:hanging="323"/>
        <w:spacing w:after="0" w:line="237" w:lineRule="auto"/>
        <w:tabs>
          <w:tab w:leader="none" w:pos="10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guidelines for salaries, merit salary increases, cash incentive payments, stock-based grants and performance-based stock grants for all non-executive officer employees of the Company;</w:t>
      </w:r>
    </w:p>
    <w:p>
      <w:pPr>
        <w:spacing w:after="0" w:line="1"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and incentive plans, including amendments or modifications to such equity and incentive plans;</w:t>
      </w:r>
    </w:p>
    <w:p>
      <w:pPr>
        <w:spacing w:after="0" w:line="31"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ownership guidelines for executive officers and directors;</w:t>
      </w:r>
    </w:p>
    <w:p>
      <w:pPr>
        <w:spacing w:after="0" w:line="27" w:lineRule="exact"/>
        <w:rPr>
          <w:rFonts w:ascii="Times New Roman" w:cs="Times New Roman" w:eastAsia="Times New Roman" w:hAnsi="Times New Roman"/>
          <w:sz w:val="18"/>
          <w:szCs w:val="18"/>
          <w:color w:val="auto"/>
        </w:rPr>
      </w:pPr>
    </w:p>
    <w:p>
      <w:pPr>
        <w:ind w:left="1060" w:right="280" w:hanging="323"/>
        <w:spacing w:after="0" w:line="234" w:lineRule="auto"/>
        <w:tabs>
          <w:tab w:leader="none" w:pos="10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Discussion and Analysis for inclusion in any of the Company's annual reports on Form 10-K, registration statements, proxy statements or information statements; and</w:t>
      </w:r>
    </w:p>
    <w:p>
      <w:pPr>
        <w:spacing w:after="0" w:line="10" w:lineRule="exact"/>
        <w:rPr>
          <w:rFonts w:ascii="Times New Roman" w:cs="Times New Roman" w:eastAsia="Times New Roman" w:hAnsi="Times New Roman"/>
          <w:sz w:val="18"/>
          <w:szCs w:val="18"/>
          <w:color w:val="auto"/>
        </w:rPr>
      </w:pPr>
    </w:p>
    <w:p>
      <w:pPr>
        <w:ind w:left="1060" w:right="240" w:hanging="323"/>
        <w:spacing w:after="0" w:line="237" w:lineRule="auto"/>
        <w:tabs>
          <w:tab w:leader="none" w:pos="10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report on executive compensation to be included in the Company's annual proxy statement in accordance with applicable SEC rules and regulations.</w:t>
      </w:r>
    </w:p>
    <w:p>
      <w:pPr>
        <w:sectPr>
          <w:pgSz w:w="11900" w:h="16838" w:orient="portrait"/>
          <w:cols w:equalWidth="0" w:num="1">
            <w:col w:w="11120"/>
          </w:cols>
          <w:pgMar w:left="320" w:top="112"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2" w:right="45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the Committee also has the following oversight responsibilities:</w:t>
      </w:r>
    </w:p>
    <w:p>
      <w:pPr>
        <w:spacing w:after="0" w:line="198" w:lineRule="exact"/>
        <w:rPr>
          <w:sz w:val="20"/>
          <w:szCs w:val="20"/>
          <w:color w:val="auto"/>
        </w:rPr>
      </w:pPr>
    </w:p>
    <w:p>
      <w:pPr>
        <w:ind w:left="1060" w:right="220" w:hanging="323"/>
        <w:spacing w:after="0" w:line="237" w:lineRule="auto"/>
        <w:tabs>
          <w:tab w:leader="none" w:pos="10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development, implementation and effectiveness of the Company’s policies and strategies with respect to human capital and talent management, including diversity and inclusion initiatives;</w:t>
      </w:r>
    </w:p>
    <w:p>
      <w:pPr>
        <w:spacing w:after="0" w:line="1"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Company’s equity and incentive plans and employee benefit plans;</w:t>
      </w:r>
    </w:p>
    <w:p>
      <w:pPr>
        <w:spacing w:after="0" w:line="31"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implementation of clawback policies allowing the Company to recoup certain compensation paid to employees;</w:t>
      </w:r>
    </w:p>
    <w:p>
      <w:pPr>
        <w:spacing w:after="0" w:line="27"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taking into consideration stockholder feedback regarding compensation matters, including our annual say-on-pay vote;</w:t>
      </w:r>
    </w:p>
    <w:p>
      <w:pPr>
        <w:spacing w:after="0" w:line="22" w:lineRule="exact"/>
        <w:rPr>
          <w:rFonts w:ascii="Times New Roman" w:cs="Times New Roman" w:eastAsia="Times New Roman" w:hAnsi="Times New Roman"/>
          <w:sz w:val="18"/>
          <w:szCs w:val="18"/>
          <w:color w:val="auto"/>
        </w:rPr>
      </w:pPr>
    </w:p>
    <w:p>
      <w:pPr>
        <w:ind w:left="1060" w:hanging="323"/>
        <w:spacing w:after="0" w:line="242" w:lineRule="auto"/>
        <w:tabs>
          <w:tab w:leader="none" w:pos="10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independent compensation consultants and advisors when appropriate to advise the Committee on compensation policies and plans; and</w:t>
      </w:r>
    </w:p>
    <w:p>
      <w:pPr>
        <w:spacing w:after="0" w:line="1" w:lineRule="exact"/>
        <w:rPr>
          <w:rFonts w:ascii="Times New Roman" w:cs="Times New Roman" w:eastAsia="Times New Roman" w:hAnsi="Times New Roman"/>
          <w:sz w:val="18"/>
          <w:szCs w:val="18"/>
          <w:color w:val="auto"/>
        </w:rPr>
      </w:pPr>
    </w:p>
    <w:p>
      <w:pPr>
        <w:ind w:left="1060" w:right="120" w:hanging="323"/>
        <w:spacing w:after="0" w:line="234" w:lineRule="auto"/>
        <w:tabs>
          <w:tab w:leader="none" w:pos="10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requirements established by the SEC, assessing the risks arising from the Company’s compensation policies and taking any actions required as a result thereof.</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w:t>
      </w:r>
    </w:p>
    <w:p>
      <w:pPr>
        <w:spacing w:after="0" w:line="189" w:lineRule="exact"/>
        <w:rPr>
          <w:sz w:val="20"/>
          <w:szCs w:val="20"/>
          <w:color w:val="auto"/>
        </w:rPr>
      </w:pPr>
    </w:p>
    <w:p>
      <w:pPr>
        <w:ind w:right="320" w:firstLine="551"/>
        <w:spacing w:after="0" w:line="237" w:lineRule="auto"/>
        <w:rPr>
          <w:sz w:val="20"/>
          <w:szCs w:val="20"/>
          <w:color w:val="auto"/>
        </w:rPr>
      </w:pPr>
      <w:r>
        <w:rPr>
          <w:rFonts w:ascii="Times New Roman" w:cs="Times New Roman" w:eastAsia="Times New Roman" w:hAnsi="Times New Roman"/>
          <w:sz w:val="18"/>
          <w:szCs w:val="18"/>
          <w:color w:val="auto"/>
        </w:rPr>
        <w:t>We believe that in order to create value for our stockholders, it is critical to attract, motivate and retain key executive officer talent by providing competitive compensation packages. Accordingly, we design our executive officer compensation program to:</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97"/>
        </w:trPr>
        <w:tc>
          <w:tcPr>
            <w:tcW w:w="3620" w:type="dxa"/>
            <w:vAlign w:val="bottom"/>
            <w:shd w:val="clear" w:color="auto" w:fill="274E3F"/>
          </w:tcPr>
          <w:p>
            <w:pPr>
              <w:jc w:val="center"/>
              <w:spacing w:after="0"/>
              <w:rPr>
                <w:sz w:val="20"/>
                <w:szCs w:val="20"/>
                <w:color w:val="auto"/>
              </w:rPr>
            </w:pPr>
            <w:r>
              <w:rPr>
                <w:rFonts w:ascii="Times New Roman" w:cs="Times New Roman" w:eastAsia="Times New Roman" w:hAnsi="Times New Roman"/>
                <w:sz w:val="20"/>
                <w:szCs w:val="20"/>
                <w:b w:val="1"/>
                <w:bCs w:val="1"/>
                <w:color w:val="FFFFFF"/>
                <w:w w:val="97"/>
              </w:rPr>
              <w:t>ATTRACT, DEVELOP &amp; RETAIN</w:t>
            </w:r>
          </w:p>
        </w:tc>
        <w:tc>
          <w:tcPr>
            <w:tcW w:w="180" w:type="dxa"/>
            <w:vAlign w:val="bottom"/>
          </w:tcPr>
          <w:p>
            <w:pPr>
              <w:spacing w:after="0"/>
              <w:rPr>
                <w:sz w:val="24"/>
                <w:szCs w:val="24"/>
                <w:color w:val="auto"/>
              </w:rPr>
            </w:pPr>
          </w:p>
        </w:tc>
        <w:tc>
          <w:tcPr>
            <w:tcW w:w="3620" w:type="dxa"/>
            <w:vAlign w:val="bottom"/>
            <w:shd w:val="clear" w:color="auto" w:fill="BC3F84"/>
          </w:tcPr>
          <w:p>
            <w:pPr>
              <w:jc w:val="center"/>
              <w:spacing w:after="0"/>
              <w:rPr>
                <w:sz w:val="20"/>
                <w:szCs w:val="20"/>
                <w:color w:val="auto"/>
              </w:rPr>
            </w:pPr>
            <w:r>
              <w:rPr>
                <w:rFonts w:ascii="Times New Roman" w:cs="Times New Roman" w:eastAsia="Times New Roman" w:hAnsi="Times New Roman"/>
                <w:sz w:val="22"/>
                <w:szCs w:val="22"/>
                <w:b w:val="1"/>
                <w:bCs w:val="1"/>
                <w:color w:val="FFFFFF"/>
                <w:w w:val="96"/>
              </w:rPr>
              <w:t>MOTIVATE &amp; REWARD</w:t>
            </w:r>
          </w:p>
        </w:tc>
        <w:tc>
          <w:tcPr>
            <w:tcW w:w="180" w:type="dxa"/>
            <w:vAlign w:val="bottom"/>
          </w:tcPr>
          <w:p>
            <w:pPr>
              <w:spacing w:after="0"/>
              <w:rPr>
                <w:sz w:val="24"/>
                <w:szCs w:val="24"/>
                <w:color w:val="auto"/>
              </w:rPr>
            </w:pPr>
          </w:p>
        </w:tc>
        <w:tc>
          <w:tcPr>
            <w:tcW w:w="3600" w:type="dxa"/>
            <w:vAlign w:val="bottom"/>
            <w:shd w:val="clear" w:color="auto" w:fill="40AEAA"/>
          </w:tcPr>
          <w:p>
            <w:pPr>
              <w:jc w:val="center"/>
              <w:spacing w:after="0"/>
              <w:rPr>
                <w:sz w:val="20"/>
                <w:szCs w:val="20"/>
                <w:color w:val="auto"/>
              </w:rPr>
            </w:pPr>
            <w:r>
              <w:rPr>
                <w:rFonts w:ascii="Times New Roman" w:cs="Times New Roman" w:eastAsia="Times New Roman" w:hAnsi="Times New Roman"/>
                <w:sz w:val="22"/>
                <w:szCs w:val="22"/>
                <w:b w:val="1"/>
                <w:bCs w:val="1"/>
                <w:color w:val="FFFFFF"/>
                <w:w w:val="98"/>
              </w:rPr>
              <w:t>MAXIMIZE</w:t>
            </w:r>
          </w:p>
        </w:tc>
      </w:tr>
      <w:tr>
        <w:trPr>
          <w:trHeight w:val="189"/>
        </w:trPr>
        <w:tc>
          <w:tcPr>
            <w:tcW w:w="3620" w:type="dxa"/>
            <w:vAlign w:val="bottom"/>
            <w:shd w:val="clear" w:color="auto" w:fill="274E3F"/>
          </w:tcPr>
          <w:p>
            <w:pPr>
              <w:jc w:val="center"/>
              <w:spacing w:after="0"/>
              <w:rPr>
                <w:sz w:val="20"/>
                <w:szCs w:val="20"/>
                <w:color w:val="auto"/>
              </w:rPr>
            </w:pPr>
            <w:r>
              <w:rPr>
                <w:rFonts w:ascii="Times New Roman" w:cs="Times New Roman" w:eastAsia="Times New Roman" w:hAnsi="Times New Roman"/>
                <w:sz w:val="16"/>
                <w:szCs w:val="16"/>
                <w:color w:val="FFFFFF"/>
              </w:rPr>
              <w:t>executive officers with the skills and expertise to</w:t>
            </w:r>
          </w:p>
        </w:tc>
        <w:tc>
          <w:tcPr>
            <w:tcW w:w="180" w:type="dxa"/>
            <w:vAlign w:val="bottom"/>
          </w:tcPr>
          <w:p>
            <w:pPr>
              <w:spacing w:after="0"/>
              <w:rPr>
                <w:sz w:val="16"/>
                <w:szCs w:val="16"/>
                <w:color w:val="auto"/>
              </w:rPr>
            </w:pPr>
          </w:p>
        </w:tc>
        <w:tc>
          <w:tcPr>
            <w:tcW w:w="3620" w:type="dxa"/>
            <w:vAlign w:val="bottom"/>
            <w:shd w:val="clear" w:color="auto" w:fill="BC3F84"/>
          </w:tcPr>
          <w:p>
            <w:pPr>
              <w:jc w:val="center"/>
              <w:spacing w:after="0"/>
              <w:rPr>
                <w:sz w:val="20"/>
                <w:szCs w:val="20"/>
                <w:color w:val="auto"/>
              </w:rPr>
            </w:pPr>
            <w:r>
              <w:rPr>
                <w:rFonts w:ascii="Times New Roman" w:cs="Times New Roman" w:eastAsia="Times New Roman" w:hAnsi="Times New Roman"/>
                <w:sz w:val="16"/>
                <w:szCs w:val="16"/>
                <w:color w:val="FFFFFF"/>
              </w:rPr>
              <w:t>executives fairly over time for actions consistent with</w:t>
            </w:r>
          </w:p>
        </w:tc>
        <w:tc>
          <w:tcPr>
            <w:tcW w:w="180" w:type="dxa"/>
            <w:vAlign w:val="bottom"/>
          </w:tcPr>
          <w:p>
            <w:pPr>
              <w:spacing w:after="0"/>
              <w:rPr>
                <w:sz w:val="16"/>
                <w:szCs w:val="16"/>
                <w:color w:val="auto"/>
              </w:rPr>
            </w:pPr>
          </w:p>
        </w:tc>
        <w:tc>
          <w:tcPr>
            <w:tcW w:w="3600" w:type="dxa"/>
            <w:vAlign w:val="bottom"/>
            <w:shd w:val="clear" w:color="auto" w:fill="40AEAA"/>
          </w:tcPr>
          <w:p>
            <w:pPr>
              <w:jc w:val="center"/>
              <w:spacing w:after="0"/>
              <w:rPr>
                <w:sz w:val="20"/>
                <w:szCs w:val="20"/>
                <w:color w:val="auto"/>
              </w:rPr>
            </w:pPr>
            <w:r>
              <w:rPr>
                <w:rFonts w:ascii="Times New Roman" w:cs="Times New Roman" w:eastAsia="Times New Roman" w:hAnsi="Times New Roman"/>
                <w:sz w:val="16"/>
                <w:szCs w:val="16"/>
                <w:color w:val="FFFFFF"/>
              </w:rPr>
              <w:t>stockholder value via an appropriate blend of short-</w:t>
            </w:r>
          </w:p>
        </w:tc>
      </w:tr>
      <w:tr>
        <w:trPr>
          <w:trHeight w:val="162"/>
        </w:trPr>
        <w:tc>
          <w:tcPr>
            <w:tcW w:w="3620" w:type="dxa"/>
            <w:vAlign w:val="bottom"/>
            <w:shd w:val="clear" w:color="auto" w:fill="274E3F"/>
          </w:tcPr>
          <w:p>
            <w:pPr>
              <w:jc w:val="center"/>
              <w:spacing w:after="0" w:line="162" w:lineRule="exact"/>
              <w:rPr>
                <w:sz w:val="20"/>
                <w:szCs w:val="20"/>
                <w:color w:val="auto"/>
              </w:rPr>
            </w:pPr>
            <w:r>
              <w:rPr>
                <w:rFonts w:ascii="Times New Roman" w:cs="Times New Roman" w:eastAsia="Times New Roman" w:hAnsi="Times New Roman"/>
                <w:sz w:val="16"/>
                <w:szCs w:val="16"/>
                <w:color w:val="FFFFFF"/>
              </w:rPr>
              <w:t>execute our business plans within the highly</w:t>
            </w:r>
          </w:p>
        </w:tc>
        <w:tc>
          <w:tcPr>
            <w:tcW w:w="180" w:type="dxa"/>
            <w:vAlign w:val="bottom"/>
          </w:tcPr>
          <w:p>
            <w:pPr>
              <w:spacing w:after="0"/>
              <w:rPr>
                <w:sz w:val="14"/>
                <w:szCs w:val="14"/>
                <w:color w:val="auto"/>
              </w:rPr>
            </w:pPr>
          </w:p>
        </w:tc>
        <w:tc>
          <w:tcPr>
            <w:tcW w:w="3620" w:type="dxa"/>
            <w:vAlign w:val="bottom"/>
            <w:shd w:val="clear" w:color="auto" w:fill="BC3F84"/>
          </w:tcPr>
          <w:p>
            <w:pPr>
              <w:jc w:val="center"/>
              <w:spacing w:after="0" w:line="162" w:lineRule="exact"/>
              <w:rPr>
                <w:sz w:val="20"/>
                <w:szCs w:val="20"/>
                <w:color w:val="auto"/>
              </w:rPr>
            </w:pPr>
            <w:r>
              <w:rPr>
                <w:rFonts w:ascii="Times New Roman" w:cs="Times New Roman" w:eastAsia="Times New Roman" w:hAnsi="Times New Roman"/>
                <w:sz w:val="16"/>
                <w:szCs w:val="16"/>
                <w:color w:val="FFFFFF"/>
              </w:rPr>
              <w:t>creating long-term stockholder value</w:t>
            </w:r>
          </w:p>
        </w:tc>
        <w:tc>
          <w:tcPr>
            <w:tcW w:w="180" w:type="dxa"/>
            <w:vAlign w:val="bottom"/>
          </w:tcPr>
          <w:p>
            <w:pPr>
              <w:spacing w:after="0"/>
              <w:rPr>
                <w:sz w:val="14"/>
                <w:szCs w:val="14"/>
                <w:color w:val="auto"/>
              </w:rPr>
            </w:pPr>
          </w:p>
        </w:tc>
        <w:tc>
          <w:tcPr>
            <w:tcW w:w="3600" w:type="dxa"/>
            <w:vAlign w:val="bottom"/>
            <w:shd w:val="clear" w:color="auto" w:fill="40AEAA"/>
          </w:tcPr>
          <w:p>
            <w:pPr>
              <w:jc w:val="center"/>
              <w:spacing w:after="0" w:line="162" w:lineRule="exact"/>
              <w:rPr>
                <w:sz w:val="20"/>
                <w:szCs w:val="20"/>
                <w:color w:val="auto"/>
              </w:rPr>
            </w:pPr>
            <w:r>
              <w:rPr>
                <w:rFonts w:ascii="Times New Roman" w:cs="Times New Roman" w:eastAsia="Times New Roman" w:hAnsi="Times New Roman"/>
                <w:sz w:val="16"/>
                <w:szCs w:val="16"/>
                <w:color w:val="FFFFFF"/>
              </w:rPr>
              <w:t>term and long-term incentives</w:t>
            </w:r>
          </w:p>
        </w:tc>
      </w:tr>
      <w:tr>
        <w:trPr>
          <w:trHeight w:val="216"/>
        </w:trPr>
        <w:tc>
          <w:tcPr>
            <w:tcW w:w="3620" w:type="dxa"/>
            <w:vAlign w:val="bottom"/>
            <w:shd w:val="clear" w:color="auto" w:fill="274E3F"/>
          </w:tcPr>
          <w:p>
            <w:pPr>
              <w:jc w:val="center"/>
              <w:spacing w:after="0"/>
              <w:rPr>
                <w:sz w:val="20"/>
                <w:szCs w:val="20"/>
                <w:color w:val="auto"/>
              </w:rPr>
            </w:pPr>
            <w:r>
              <w:rPr>
                <w:rFonts w:ascii="Times New Roman" w:cs="Times New Roman" w:eastAsia="Times New Roman" w:hAnsi="Times New Roman"/>
                <w:sz w:val="16"/>
                <w:szCs w:val="16"/>
                <w:color w:val="FFFFFF"/>
              </w:rPr>
              <w:t>competitive life sciences industry</w:t>
            </w:r>
          </w:p>
        </w:tc>
        <w:tc>
          <w:tcPr>
            <w:tcW w:w="180" w:type="dxa"/>
            <w:vAlign w:val="bottom"/>
          </w:tcPr>
          <w:p>
            <w:pPr>
              <w:spacing w:after="0"/>
              <w:rPr>
                <w:sz w:val="18"/>
                <w:szCs w:val="18"/>
                <w:color w:val="auto"/>
              </w:rPr>
            </w:pPr>
          </w:p>
        </w:tc>
        <w:tc>
          <w:tcPr>
            <w:tcW w:w="3620" w:type="dxa"/>
            <w:vAlign w:val="bottom"/>
            <w:shd w:val="clear" w:color="auto" w:fill="BC3F84"/>
          </w:tcPr>
          <w:p>
            <w:pPr>
              <w:spacing w:after="0"/>
              <w:rPr>
                <w:sz w:val="18"/>
                <w:szCs w:val="18"/>
                <w:color w:val="auto"/>
              </w:rPr>
            </w:pPr>
          </w:p>
        </w:tc>
        <w:tc>
          <w:tcPr>
            <w:tcW w:w="180" w:type="dxa"/>
            <w:vAlign w:val="bottom"/>
          </w:tcPr>
          <w:p>
            <w:pPr>
              <w:spacing w:after="0"/>
              <w:rPr>
                <w:sz w:val="18"/>
                <w:szCs w:val="18"/>
                <w:color w:val="auto"/>
              </w:rPr>
            </w:pPr>
          </w:p>
        </w:tc>
        <w:tc>
          <w:tcPr>
            <w:tcW w:w="3600" w:type="dxa"/>
            <w:vAlign w:val="bottom"/>
            <w:shd w:val="clear" w:color="auto" w:fill="40AEAA"/>
          </w:tcPr>
          <w:p>
            <w:pPr>
              <w:spacing w:after="0"/>
              <w:rPr>
                <w:sz w:val="18"/>
                <w:szCs w:val="18"/>
                <w:color w:val="auto"/>
              </w:rPr>
            </w:pPr>
          </w:p>
        </w:tc>
      </w:tr>
    </w:tbl>
    <w:p>
      <w:pPr>
        <w:spacing w:after="0" w:line="265" w:lineRule="exact"/>
        <w:rPr>
          <w:sz w:val="20"/>
          <w:szCs w:val="20"/>
          <w:color w:val="auto"/>
        </w:rPr>
      </w:pPr>
    </w:p>
    <w:p>
      <w:pPr>
        <w:ind w:right="500" w:firstLine="551"/>
        <w:spacing w:after="0" w:line="222" w:lineRule="auto"/>
        <w:rPr>
          <w:sz w:val="20"/>
          <w:szCs w:val="20"/>
          <w:color w:val="auto"/>
        </w:rPr>
      </w:pPr>
      <w:r>
        <w:rPr>
          <w:rFonts w:ascii="Times New Roman" w:cs="Times New Roman" w:eastAsia="Times New Roman" w:hAnsi="Times New Roman"/>
          <w:sz w:val="18"/>
          <w:szCs w:val="18"/>
          <w:color w:val="auto"/>
        </w:rPr>
        <w:t>Our compensation philosophy for executive officers provides that cash compensation should be structured such that at least one-third of each executive officer’s target total cash compensation, consisting of base salary and target cash incentives, is at risk and dependent upon the Company’s</w:t>
      </w:r>
    </w:p>
    <w:p>
      <w:pPr>
        <w:spacing w:after="0" w:line="2" w:lineRule="exact"/>
        <w:rPr>
          <w:sz w:val="20"/>
          <w:szCs w:val="20"/>
          <w:color w:val="auto"/>
        </w:rPr>
      </w:pPr>
    </w:p>
    <w:p>
      <w:pPr>
        <w:jc w:val="both"/>
        <w:ind w:right="40"/>
        <w:spacing w:after="0" w:line="220" w:lineRule="auto"/>
        <w:rPr>
          <w:sz w:val="20"/>
          <w:szCs w:val="20"/>
          <w:color w:val="auto"/>
        </w:rPr>
      </w:pPr>
      <w:r>
        <w:rPr>
          <w:rFonts w:ascii="Times New Roman" w:cs="Times New Roman" w:eastAsia="Times New Roman" w:hAnsi="Times New Roman"/>
          <w:sz w:val="17"/>
          <w:szCs w:val="17"/>
          <w:color w:val="auto"/>
        </w:rPr>
        <w:t>achievement of specific corporate goals that drive stockholder value. Starting in 2020, 50% of our Chief Executive Officer’s target total cash compensation is at risk under our annual cash incentive plan. Long-term equity compensation for executive officers is generally a combination of performance-based and time-based vesting equity awards, and it is designed to motivate executive officers to increase long-term stockholder value and to reward and retain key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Overall Compensation Determination Process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implementation of the compensation philosophy is carried out under the supervision of the Committee. The Committee uses the services of an</w:t>
      </w:r>
    </w:p>
    <w:p>
      <w:pPr>
        <w:spacing w:after="0" w:line="2"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independent compensation consultant who is retained by, and reports directly to, the Committee. Management, under guidelines and procedures approved by the Committee, determines the compensation of our non-executive officer employees.</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early part of each year, the Committee deliberates and makes decisions regarding the base salary, target cash incentives and long-term equity</w:t>
      </w:r>
    </w:p>
    <w:p>
      <w:pPr>
        <w:spacing w:after="0" w:line="2" w:lineRule="exact"/>
        <w:rPr>
          <w:sz w:val="20"/>
          <w:szCs w:val="20"/>
          <w:color w:val="auto"/>
        </w:rPr>
      </w:pPr>
    </w:p>
    <w:p>
      <w:pPr>
        <w:ind w:right="380"/>
        <w:spacing w:after="0" w:line="208" w:lineRule="auto"/>
        <w:rPr>
          <w:sz w:val="20"/>
          <w:szCs w:val="20"/>
          <w:color w:val="auto"/>
        </w:rPr>
      </w:pPr>
      <w:r>
        <w:rPr>
          <w:rFonts w:ascii="Times New Roman" w:cs="Times New Roman" w:eastAsia="Times New Roman" w:hAnsi="Times New Roman"/>
          <w:sz w:val="18"/>
          <w:szCs w:val="18"/>
          <w:color w:val="auto"/>
        </w:rPr>
        <w:t>award components of compensation to be awarded to our executive officers, including our Chief Executive Officer, for the new fiscal year, as well as performance-based compensation payouts for the prior fiscal year. In setting compensation for our other NEOs, the Committee solicits the input of our Chief Executive Officer, who recommends to the Committee the base salary, target cash incentives and long-term equity award components of</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compensation to be awarded to our NEOs for the new fiscal year, as well as performance-based compensation payouts for the prior fiscal year. The Committee remains solely responsible for making the final decisions on compensation for all of our NEOs. Our NEOs, including our Chief Executive Officer, are not present during discussions of their respective compensation packages nor do they participate in approving any portion of their own or other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NEO compensation packages.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60" w:firstLine="551"/>
        <w:spacing w:after="0" w:line="250" w:lineRule="auto"/>
        <w:rPr>
          <w:sz w:val="20"/>
          <w:szCs w:val="20"/>
          <w:color w:val="auto"/>
        </w:rPr>
      </w:pPr>
      <w:r>
        <w:rPr>
          <w:rFonts w:ascii="Times New Roman" w:cs="Times New Roman" w:eastAsia="Times New Roman" w:hAnsi="Times New Roman"/>
          <w:sz w:val="18"/>
          <w:szCs w:val="18"/>
          <w:color w:val="auto"/>
        </w:rPr>
        <w:t>The Committee considers a variety of factors, as described below, which may vary from year to year, to set the compensation of our NEOs at levels that the Committee considers to be competitive and appropriate for each NEO, using the Committee’s professional experience and judgment:</w:t>
      </w:r>
    </w:p>
    <w:p>
      <w:pPr>
        <w:spacing w:after="0" w:line="138" w:lineRule="exact"/>
        <w:rPr>
          <w:sz w:val="20"/>
          <w:szCs w:val="20"/>
          <w:color w:val="auto"/>
        </w:rPr>
      </w:pPr>
    </w:p>
    <w:p>
      <w:pPr>
        <w:ind w:left="1120" w:hanging="334"/>
        <w:spacing w:after="0"/>
        <w:tabs>
          <w:tab w:leader="none" w:pos="1120" w:val="left"/>
        </w:tabs>
        <w:numPr>
          <w:ilvl w:val="0"/>
          <w:numId w:val="37"/>
        </w:numPr>
        <w:rPr>
          <w:rFonts w:ascii="MS PGothic" w:cs="MS PGothic" w:eastAsia="MS PGothic" w:hAnsi="MS PGothic"/>
          <w:sz w:val="18"/>
          <w:szCs w:val="18"/>
          <w:color w:val="auto"/>
          <w:shd w:val="clear" w:color="auto" w:fill="40AEAA"/>
        </w:rPr>
      </w:pPr>
      <w:r>
        <w:rPr>
          <w:rFonts w:ascii="Times New Roman" w:cs="Times New Roman" w:eastAsia="Times New Roman" w:hAnsi="Times New Roman"/>
          <w:sz w:val="18"/>
          <w:szCs w:val="18"/>
          <w:color w:val="auto"/>
        </w:rPr>
        <w:t>Company performance</w:t>
      </w:r>
    </w:p>
    <w:p>
      <w:pPr>
        <w:ind w:left="1120" w:hanging="334"/>
        <w:spacing w:after="0" w:line="219" w:lineRule="auto"/>
        <w:tabs>
          <w:tab w:leader="none" w:pos="1120" w:val="left"/>
        </w:tabs>
        <w:numPr>
          <w:ilvl w:val="0"/>
          <w:numId w:val="37"/>
        </w:numPr>
        <w:rPr>
          <w:rFonts w:ascii="MS PGothic" w:cs="MS PGothic" w:eastAsia="MS PGothic" w:hAnsi="MS PGothic"/>
          <w:sz w:val="18"/>
          <w:szCs w:val="18"/>
          <w:color w:val="auto"/>
          <w:shd w:val="clear" w:color="auto" w:fill="40AEAA"/>
        </w:rPr>
      </w:pPr>
      <w:r>
        <w:rPr>
          <w:rFonts w:ascii="Times New Roman" w:cs="Times New Roman" w:eastAsia="Times New Roman" w:hAnsi="Times New Roman"/>
          <w:sz w:val="18"/>
          <w:szCs w:val="18"/>
          <w:color w:val="auto"/>
        </w:rPr>
        <w:t>Market data from the independent compensation consultant</w:t>
      </w:r>
    </w:p>
    <w:p>
      <w:pPr>
        <w:ind w:left="1120" w:hanging="334"/>
        <w:spacing w:after="0" w:line="203" w:lineRule="auto"/>
        <w:tabs>
          <w:tab w:leader="none" w:pos="1120" w:val="left"/>
        </w:tabs>
        <w:numPr>
          <w:ilvl w:val="0"/>
          <w:numId w:val="37"/>
        </w:numPr>
        <w:rPr>
          <w:rFonts w:ascii="MS PGothic" w:cs="MS PGothic" w:eastAsia="MS PGothic" w:hAnsi="MS PGothic"/>
          <w:sz w:val="18"/>
          <w:szCs w:val="18"/>
          <w:color w:val="auto"/>
          <w:shd w:val="clear" w:color="auto" w:fill="40AEAA"/>
        </w:rPr>
      </w:pPr>
      <w:r>
        <w:rPr>
          <w:rFonts w:ascii="Times New Roman" w:cs="Times New Roman" w:eastAsia="Times New Roman" w:hAnsi="Times New Roman"/>
          <w:sz w:val="18"/>
          <w:szCs w:val="18"/>
          <w:color w:val="auto"/>
        </w:rPr>
        <w:t>Individual performance</w:t>
      </w:r>
    </w:p>
    <w:p>
      <w:pPr>
        <w:ind w:left="1120" w:hanging="334"/>
        <w:spacing w:after="0" w:line="203" w:lineRule="auto"/>
        <w:tabs>
          <w:tab w:leader="none" w:pos="1120" w:val="left"/>
        </w:tabs>
        <w:numPr>
          <w:ilvl w:val="0"/>
          <w:numId w:val="37"/>
        </w:numPr>
        <w:rPr>
          <w:rFonts w:ascii="MS PGothic" w:cs="MS PGothic" w:eastAsia="MS PGothic" w:hAnsi="MS PGothic"/>
          <w:sz w:val="18"/>
          <w:szCs w:val="18"/>
          <w:color w:val="auto"/>
          <w:shd w:val="clear" w:color="auto" w:fill="40AEAA"/>
        </w:rPr>
      </w:pPr>
      <w:r>
        <w:rPr>
          <w:rFonts w:ascii="Times New Roman" w:cs="Times New Roman" w:eastAsia="Times New Roman" w:hAnsi="Times New Roman"/>
          <w:sz w:val="18"/>
          <w:szCs w:val="18"/>
          <w:color w:val="auto"/>
        </w:rPr>
        <w:t>Retention risk</w:t>
      </w:r>
    </w:p>
    <w:p>
      <w:pPr>
        <w:ind w:left="1120" w:hanging="334"/>
        <w:spacing w:after="0" w:line="219" w:lineRule="auto"/>
        <w:tabs>
          <w:tab w:leader="none" w:pos="1120" w:val="left"/>
        </w:tabs>
        <w:numPr>
          <w:ilvl w:val="0"/>
          <w:numId w:val="37"/>
        </w:numPr>
        <w:rPr>
          <w:rFonts w:ascii="MS PGothic" w:cs="MS PGothic" w:eastAsia="MS PGothic" w:hAnsi="MS PGothic"/>
          <w:sz w:val="18"/>
          <w:szCs w:val="18"/>
          <w:color w:val="auto"/>
          <w:shd w:val="clear" w:color="auto" w:fill="40AEAA"/>
        </w:rPr>
      </w:pPr>
      <w:r>
        <w:rPr>
          <w:rFonts w:ascii="Times New Roman" w:cs="Times New Roman" w:eastAsia="Times New Roman" w:hAnsi="Times New Roman"/>
          <w:sz w:val="18"/>
          <w:szCs w:val="18"/>
          <w:color w:val="auto"/>
        </w:rPr>
        <w:t>Independent compensation consultant recommendations</w:t>
      </w:r>
    </w:p>
    <w:p>
      <w:pPr>
        <w:ind w:left="1100" w:right="360" w:hanging="314"/>
        <w:spacing w:after="0" w:line="203" w:lineRule="auto"/>
        <w:tabs>
          <w:tab w:leader="none" w:pos="1104" w:val="left"/>
        </w:tabs>
        <w:numPr>
          <w:ilvl w:val="0"/>
          <w:numId w:val="37"/>
        </w:numPr>
        <w:rPr>
          <w:rFonts w:ascii="MS PGothic" w:cs="MS PGothic" w:eastAsia="MS PGothic" w:hAnsi="MS PGothic"/>
          <w:sz w:val="18"/>
          <w:szCs w:val="18"/>
          <w:color w:val="auto"/>
          <w:shd w:val="clear" w:color="auto" w:fill="40AEAA"/>
        </w:rPr>
      </w:pPr>
      <w:r>
        <w:rPr>
          <w:rFonts w:ascii="Times New Roman" w:cs="Times New Roman" w:eastAsia="Times New Roman" w:hAnsi="Times New Roman"/>
          <w:sz w:val="18"/>
          <w:szCs w:val="18"/>
          <w:color w:val="auto"/>
        </w:rPr>
        <w:t>Chief Executive Officer’s recommendations (other than for himself), based on direct knowledge of NEO performance and his extensive industry experience</w:t>
      </w:r>
    </w:p>
    <w:p>
      <w:pPr>
        <w:ind w:left="1120" w:hanging="334"/>
        <w:spacing w:after="0" w:line="219" w:lineRule="auto"/>
        <w:tabs>
          <w:tab w:leader="none" w:pos="1120" w:val="left"/>
        </w:tabs>
        <w:numPr>
          <w:ilvl w:val="0"/>
          <w:numId w:val="37"/>
        </w:numPr>
        <w:rPr>
          <w:rFonts w:ascii="MS PGothic" w:cs="MS PGothic" w:eastAsia="MS PGothic" w:hAnsi="MS PGothic"/>
          <w:sz w:val="18"/>
          <w:szCs w:val="18"/>
          <w:color w:val="auto"/>
          <w:shd w:val="clear" w:color="auto" w:fill="40AEAA"/>
        </w:rPr>
      </w:pPr>
      <w:r>
        <w:rPr>
          <w:rFonts w:ascii="Times New Roman" w:cs="Times New Roman" w:eastAsia="Times New Roman" w:hAnsi="Times New Roman"/>
          <w:sz w:val="18"/>
          <w:szCs w:val="18"/>
          <w:color w:val="auto"/>
        </w:rPr>
        <w:t>Internal pay equity among individuals and positions</w:t>
      </w:r>
    </w:p>
    <w:p>
      <w:pPr>
        <w:ind w:left="1120" w:hanging="334"/>
        <w:spacing w:after="0" w:line="203" w:lineRule="auto"/>
        <w:tabs>
          <w:tab w:leader="none" w:pos="1120" w:val="left"/>
        </w:tabs>
        <w:numPr>
          <w:ilvl w:val="0"/>
          <w:numId w:val="37"/>
        </w:numPr>
        <w:rPr>
          <w:rFonts w:ascii="MS PGothic" w:cs="MS PGothic" w:eastAsia="MS PGothic" w:hAnsi="MS PGothic"/>
          <w:sz w:val="18"/>
          <w:szCs w:val="18"/>
          <w:color w:val="auto"/>
          <w:shd w:val="clear" w:color="auto" w:fill="40AEAA"/>
        </w:rPr>
      </w:pPr>
      <w:r>
        <w:rPr>
          <w:rFonts w:ascii="Times New Roman" w:cs="Times New Roman" w:eastAsia="Times New Roman" w:hAnsi="Times New Roman"/>
          <w:sz w:val="18"/>
          <w:szCs w:val="18"/>
          <w:color w:val="auto"/>
        </w:rPr>
        <w:t>Criticality and scope of job function</w:t>
      </w:r>
    </w:p>
    <w:p>
      <w:pPr>
        <w:ind w:left="1120" w:hanging="334"/>
        <w:spacing w:after="0" w:line="203" w:lineRule="auto"/>
        <w:tabs>
          <w:tab w:leader="none" w:pos="1120" w:val="left"/>
        </w:tabs>
        <w:numPr>
          <w:ilvl w:val="0"/>
          <w:numId w:val="37"/>
        </w:numPr>
        <w:rPr>
          <w:rFonts w:ascii="MS PGothic" w:cs="MS PGothic" w:eastAsia="MS PGothic" w:hAnsi="MS PGothic"/>
          <w:sz w:val="18"/>
          <w:szCs w:val="18"/>
          <w:color w:val="auto"/>
          <w:shd w:val="clear" w:color="auto" w:fill="40AEAA"/>
        </w:rPr>
      </w:pPr>
      <w:r>
        <w:rPr>
          <w:rFonts w:ascii="Times New Roman" w:cs="Times New Roman" w:eastAsia="Times New Roman" w:hAnsi="Times New Roman"/>
          <w:sz w:val="18"/>
          <w:szCs w:val="18"/>
          <w:color w:val="auto"/>
        </w:rPr>
        <w:t>Total targeted and historical compensation</w:t>
      </w:r>
    </w:p>
    <w:p>
      <w:pPr>
        <w:ind w:left="1100" w:hanging="314"/>
        <w:spacing w:after="0"/>
        <w:tabs>
          <w:tab w:leader="none" w:pos="1100" w:val="left"/>
        </w:tabs>
        <w:numPr>
          <w:ilvl w:val="0"/>
          <w:numId w:val="37"/>
        </w:numPr>
        <w:rPr>
          <w:rFonts w:ascii="MS PGothic" w:cs="MS PGothic" w:eastAsia="MS PGothic" w:hAnsi="MS PGothic"/>
          <w:sz w:val="18"/>
          <w:szCs w:val="18"/>
          <w:color w:val="auto"/>
          <w:shd w:val="clear" w:color="auto" w:fill="40AEAA"/>
        </w:rPr>
      </w:pPr>
      <w:r>
        <w:rPr>
          <w:rFonts w:ascii="Times New Roman" w:cs="Times New Roman" w:eastAsia="Times New Roman" w:hAnsi="Times New Roman"/>
          <w:sz w:val="18"/>
          <w:szCs w:val="18"/>
          <w:color w:val="auto"/>
        </w:rPr>
        <w:t>Any other factors the Committee determines appropriate</w:t>
      </w:r>
    </w:p>
    <w:p>
      <w:pPr>
        <w:spacing w:after="0" w:line="178" w:lineRule="exact"/>
        <w:rPr>
          <w:sz w:val="20"/>
          <w:szCs w:val="20"/>
          <w:color w:val="auto"/>
        </w:rPr>
      </w:pPr>
    </w:p>
    <w:p>
      <w:pPr>
        <w:ind w:right="160" w:firstLine="551"/>
        <w:spacing w:after="0" w:line="220" w:lineRule="auto"/>
        <w:rPr>
          <w:sz w:val="20"/>
          <w:szCs w:val="20"/>
          <w:color w:val="auto"/>
        </w:rPr>
      </w:pPr>
      <w:r>
        <w:rPr>
          <w:rFonts w:ascii="Times New Roman" w:cs="Times New Roman" w:eastAsia="Times New Roman" w:hAnsi="Times New Roman"/>
          <w:sz w:val="18"/>
          <w:szCs w:val="18"/>
          <w:color w:val="auto"/>
        </w:rPr>
        <w:t>In addition, during the first quarter of the year, Company-wide performance goals for the then current year are finalized by the Committee and the Board of Directors, and progress toward these goals is reviewed at meetings throughout the year. Later in the year, the Committee reviews the Company’s compensation philosophy, policies and procedures. Committee meetings in the fourth quarter of the year generally focus on Company goal achievement, selection of the peer group for the following year and executive officer performance.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Consultant</w:t>
      </w:r>
    </w:p>
    <w:p>
      <w:pPr>
        <w:spacing w:after="0" w:line="189" w:lineRule="exact"/>
        <w:rPr>
          <w:sz w:val="20"/>
          <w:szCs w:val="20"/>
          <w:color w:val="auto"/>
        </w:rPr>
      </w:pPr>
    </w:p>
    <w:p>
      <w:pPr>
        <w:ind w:right="180" w:firstLine="551"/>
        <w:spacing w:after="0" w:line="236" w:lineRule="auto"/>
        <w:rPr>
          <w:sz w:val="20"/>
          <w:szCs w:val="20"/>
          <w:color w:val="auto"/>
        </w:rPr>
      </w:pPr>
      <w:r>
        <w:rPr>
          <w:rFonts w:ascii="Times New Roman" w:cs="Times New Roman" w:eastAsia="Times New Roman" w:hAnsi="Times New Roman"/>
          <w:sz w:val="17"/>
          <w:szCs w:val="17"/>
          <w:color w:val="auto"/>
        </w:rPr>
        <w:t>The Committee uses the services of an independent compensation consultant who is retained by, and reports directly to, the Committee to provide the Committee with an additional external perspective with respect to its evaluation of relevant market and industry practices. In the summer of 2022, the</w:t>
      </w:r>
    </w:p>
    <w:p>
      <w:pPr>
        <w:ind w:right="20"/>
        <w:spacing w:after="0" w:line="208" w:lineRule="auto"/>
        <w:rPr>
          <w:sz w:val="20"/>
          <w:szCs w:val="20"/>
          <w:color w:val="auto"/>
        </w:rPr>
      </w:pPr>
      <w:r>
        <w:rPr>
          <w:rFonts w:ascii="Times New Roman" w:cs="Times New Roman" w:eastAsia="Times New Roman" w:hAnsi="Times New Roman"/>
          <w:sz w:val="18"/>
          <w:szCs w:val="18"/>
          <w:color w:val="auto"/>
        </w:rPr>
        <w:t>Committee engaged the services of Frederic W. Cook &amp; Co., Inc. (“FW Cook”) as its independent compensation consultant to assist the Committee with evaluating our executive and director compensation programs and to make recommendations for our 2023 compensation programs, including updating the Committee on new developments in areas that fall within the Committee's oversight. FW Cook serves solely at the pleasure of the Committee and their fees</w:t>
      </w:r>
    </w:p>
    <w:p>
      <w:pPr>
        <w:spacing w:after="0" w:line="2" w:lineRule="exact"/>
        <w:rPr>
          <w:sz w:val="20"/>
          <w:szCs w:val="20"/>
          <w:color w:val="auto"/>
        </w:rPr>
      </w:pPr>
    </w:p>
    <w:p>
      <w:pPr>
        <w:ind w:right="220"/>
        <w:spacing w:after="0" w:line="226" w:lineRule="auto"/>
        <w:rPr>
          <w:sz w:val="20"/>
          <w:szCs w:val="20"/>
          <w:color w:val="auto"/>
        </w:rPr>
      </w:pPr>
      <w:r>
        <w:rPr>
          <w:rFonts w:ascii="Times New Roman" w:cs="Times New Roman" w:eastAsia="Times New Roman" w:hAnsi="Times New Roman"/>
          <w:sz w:val="18"/>
          <w:szCs w:val="18"/>
          <w:color w:val="auto"/>
        </w:rPr>
        <w:t>are approved by the Committee. FW Cook conducted analyses and provided advice on, among other things, the appropriate peer group, executive officer compensation and compensation trends in the life sciences industry.</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weighing its recommendations for executive officer compensation for 2023, the Committee directed FW Cook to advise the Committee on both</w:t>
      </w:r>
    </w:p>
    <w:p>
      <w:pPr>
        <w:spacing w:after="0" w:line="2"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best practices and peer practices when designing and modifying our executive officer compensation program in order to achieve our objectives. As part of its duties, FW Cook provided the Committee with the following services with respect to 2023 compensation decisions:</w:t>
      </w:r>
    </w:p>
    <w:p>
      <w:pPr>
        <w:spacing w:after="0" w:line="157" w:lineRule="exact"/>
        <w:rPr>
          <w:sz w:val="20"/>
          <w:szCs w:val="20"/>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carried out a comprehensive review of our peer group for use in making 2023 executive officer compensation decisions;</w:t>
      </w:r>
    </w:p>
    <w:p>
      <w:pPr>
        <w:spacing w:after="0" w:line="36" w:lineRule="exact"/>
        <w:rPr>
          <w:rFonts w:ascii="Times New Roman" w:cs="Times New Roman" w:eastAsia="Times New Roman" w:hAnsi="Times New Roman"/>
          <w:sz w:val="18"/>
          <w:szCs w:val="18"/>
          <w:color w:val="auto"/>
        </w:rPr>
      </w:pPr>
    </w:p>
    <w:p>
      <w:pPr>
        <w:ind w:left="980" w:right="440" w:hanging="324"/>
        <w:spacing w:after="0" w:line="237" w:lineRule="auto"/>
        <w:tabs>
          <w:tab w:leader="none" w:pos="9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compensation data for the peer group and relevant executive officer pay survey data and an analysis of the compensation of the Company’s executive officers as compared to this market data;</w:t>
      </w:r>
    </w:p>
    <w:p>
      <w:pPr>
        <w:spacing w:after="0" w:line="1" w:lineRule="exact"/>
        <w:rPr>
          <w:rFonts w:ascii="Times New Roman" w:cs="Times New Roman" w:eastAsia="Times New Roman" w:hAnsi="Times New Roman"/>
          <w:sz w:val="18"/>
          <w:szCs w:val="18"/>
          <w:color w:val="auto"/>
        </w:rPr>
      </w:pPr>
    </w:p>
    <w:p>
      <w:pPr>
        <w:ind w:left="980" w:right="200" w:hanging="324"/>
        <w:spacing w:after="0" w:line="242" w:lineRule="auto"/>
        <w:tabs>
          <w:tab w:leader="none" w:pos="9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a competitive assessment of, and comparison to, incentive design and executive officer pay program structure based on peer group data;</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a comprehensive pay for performance assessment;</w:t>
      </w:r>
    </w:p>
    <w:p>
      <w:pPr>
        <w:spacing w:after="0" w:line="2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recommendations regarding the annual cash incentive and long-term equity incentive program design for 2023;</w:t>
      </w:r>
    </w:p>
    <w:p>
      <w:pPr>
        <w:spacing w:after="0" w:line="3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assisted the Committee with the design of 2023 pay programs consistent with the Company’s business strategy and pay philosophy;</w:t>
      </w:r>
    </w:p>
    <w:p>
      <w:pPr>
        <w:spacing w:after="0" w:line="27" w:lineRule="exact"/>
        <w:rPr>
          <w:rFonts w:ascii="Times New Roman" w:cs="Times New Roman" w:eastAsia="Times New Roman" w:hAnsi="Times New Roman"/>
          <w:sz w:val="18"/>
          <w:szCs w:val="18"/>
          <w:color w:val="auto"/>
        </w:rPr>
      </w:pPr>
    </w:p>
    <w:p>
      <w:pPr>
        <w:ind w:left="980" w:right="220" w:hanging="324"/>
        <w:spacing w:after="0" w:line="234" w:lineRule="auto"/>
        <w:tabs>
          <w:tab w:leader="none" w:pos="9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background information and data for 2023 adjustments to the Company’s executive officer compensation program consistent with good governance practices and the Company’s objectives; and</w:t>
      </w:r>
    </w:p>
    <w:p>
      <w:pPr>
        <w:spacing w:after="0" w:line="1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prepared an analysis of the Board of Directors’ 2023 compensation program.</w:t>
      </w:r>
    </w:p>
    <w:p>
      <w:pPr>
        <w:spacing w:after="0" w:line="185" w:lineRule="exact"/>
        <w:rPr>
          <w:sz w:val="20"/>
          <w:szCs w:val="20"/>
          <w:color w:val="auto"/>
        </w:rPr>
      </w:pPr>
    </w:p>
    <w:p>
      <w:pPr>
        <w:ind w:right="140" w:firstLine="551"/>
        <w:spacing w:after="0" w:line="222" w:lineRule="auto"/>
        <w:rPr>
          <w:sz w:val="20"/>
          <w:szCs w:val="20"/>
          <w:color w:val="auto"/>
        </w:rPr>
      </w:pPr>
      <w:r>
        <w:rPr>
          <w:rFonts w:ascii="Times New Roman" w:cs="Times New Roman" w:eastAsia="Times New Roman" w:hAnsi="Times New Roman"/>
          <w:sz w:val="18"/>
          <w:szCs w:val="18"/>
          <w:color w:val="auto"/>
        </w:rPr>
        <w:t>The Committee annually assesses whether the work of its compensation consultant has raised any conflict of interest, taking into consideration the following factors: (i) the provision of other services, if any, to the Company by the compensation consultant; (ii) the amount of fees the Company paid to</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the compensation consultant as a percentage of the firm’s total revenue; (iii) the compensation consultant’s policies and procedures that are designed to prevent conflicts of interest; (iv) any business or personal relationship of the compensation consultant or the individual compensation advisors employed by the firm with an executive officer of the Company; (v) any business or personal relationship of the individual compensation advisors with any member of</w:t>
      </w:r>
    </w:p>
    <w:p>
      <w:pPr>
        <w:spacing w:after="0" w:line="2"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the Committee; and (vi) any stock of the Company owned by the compensation consultant or the individual compensation advisors employed by the firm. The Committee has determined, based on its analysis of the above factors, that there was no conflict of interest with respect to FW Cook providing services to the Committee.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Assessment of Compensation—Peer Group and Market Data</w:t>
      </w:r>
    </w:p>
    <w:p>
      <w:pPr>
        <w:spacing w:after="0" w:line="200" w:lineRule="exact"/>
        <w:rPr>
          <w:sz w:val="20"/>
          <w:szCs w:val="20"/>
          <w:color w:val="auto"/>
        </w:rPr>
      </w:pPr>
    </w:p>
    <w:p>
      <w:pPr>
        <w:jc w:val="both"/>
        <w:ind w:right="620" w:firstLine="551"/>
        <w:spacing w:after="0" w:line="229" w:lineRule="auto"/>
        <w:rPr>
          <w:sz w:val="20"/>
          <w:szCs w:val="20"/>
          <w:color w:val="auto"/>
        </w:rPr>
      </w:pPr>
      <w:r>
        <w:rPr>
          <w:rFonts w:ascii="Times New Roman" w:cs="Times New Roman" w:eastAsia="Times New Roman" w:hAnsi="Times New Roman"/>
          <w:sz w:val="17"/>
          <w:szCs w:val="17"/>
          <w:color w:val="auto"/>
        </w:rPr>
        <w:t xml:space="preserve">2023 </w:t>
      </w:r>
      <w:r>
        <w:rPr>
          <w:rFonts w:ascii="Times New Roman" w:cs="Times New Roman" w:eastAsia="Times New Roman" w:hAnsi="Times New Roman"/>
          <w:sz w:val="17"/>
          <w:szCs w:val="17"/>
          <w:i w:val="1"/>
          <w:iCs w:val="1"/>
          <w:color w:val="auto"/>
        </w:rPr>
        <w:t>Peer Group.</w:t>
      </w:r>
      <w:r>
        <w:rPr>
          <w:rFonts w:ascii="Times New Roman" w:cs="Times New Roman" w:eastAsia="Times New Roman" w:hAnsi="Times New Roman"/>
          <w:sz w:val="17"/>
          <w:szCs w:val="17"/>
          <w:color w:val="auto"/>
        </w:rPr>
        <w:t xml:space="preserve"> In September 2022, when developing a proposed list of our peer group companies to be used in connection with making compensation decisions for 2023, FW Cook selected primarily recently commercial biopharmaceutical companies or late-stage high valuation pre-commercial companies with revenues generally between $200 million and $2.5 billion, market capitalization generally between $2.6 billion and</w:t>
      </w:r>
    </w:p>
    <w:p>
      <w:pPr>
        <w:spacing w:after="0" w:line="2"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$26.4 billion and employee headcount generally under 3,000, which FW Cook recommended as a reasonable range in relation to our then-current revenue, market capitalization and headcount.</w:t>
      </w:r>
    </w:p>
    <w:p>
      <w:pPr>
        <w:spacing w:after="0" w:line="1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Based on these criteria, FW Cook recommended, and our Committee approved, the following peer group for 2023:</w:t>
      </w:r>
    </w:p>
    <w:p>
      <w:pPr>
        <w:spacing w:after="0" w:line="237" w:lineRule="exact"/>
        <w:rPr>
          <w:sz w:val="20"/>
          <w:szCs w:val="20"/>
          <w:color w:val="auto"/>
        </w:rPr>
      </w:pPr>
    </w:p>
    <w:tbl>
      <w:tblPr>
        <w:tblLayout w:type="fixed"/>
        <w:tblInd w:w="630" w:type="dxa"/>
        <w:tblCellMar>
          <w:top w:w="0" w:type="dxa"/>
          <w:left w:w="0" w:type="dxa"/>
          <w:bottom w:w="0" w:type="dxa"/>
          <w:right w:w="0" w:type="dxa"/>
        </w:tblCellMar>
      </w:tblPr>
      <w:tr>
        <w:trPr>
          <w:trHeight w:val="252"/>
        </w:trPr>
        <w:tc>
          <w:tcPr>
            <w:tcW w:w="3000" w:type="dxa"/>
            <w:vAlign w:val="bottom"/>
            <w:tcBorders>
              <w:top w:val="single" w:sz="8" w:color="40AEAA"/>
              <w:left w:val="single" w:sz="8" w:color="40AEAA"/>
            </w:tcBorders>
          </w:tcPr>
          <w:p>
            <w:pPr>
              <w:ind w:left="40"/>
              <w:spacing w:after="0"/>
              <w:rPr>
                <w:sz w:val="20"/>
                <w:szCs w:val="20"/>
                <w:color w:val="auto"/>
              </w:rPr>
            </w:pPr>
            <w:r>
              <w:rPr>
                <w:rFonts w:ascii="Times New Roman" w:cs="Times New Roman" w:eastAsia="Times New Roman" w:hAnsi="Times New Roman"/>
                <w:sz w:val="18"/>
                <w:szCs w:val="18"/>
                <w:color w:val="auto"/>
              </w:rPr>
              <w:t>ACADIA Pharmaceuticals, Inc.</w:t>
            </w:r>
          </w:p>
        </w:tc>
        <w:tc>
          <w:tcPr>
            <w:tcW w:w="3240" w:type="dxa"/>
            <w:vAlign w:val="bottom"/>
            <w:tcBorders>
              <w:top w:val="single" w:sz="8" w:color="40AEAA"/>
            </w:tcBorders>
          </w:tcPr>
          <w:p>
            <w:pPr>
              <w:ind w:left="600"/>
              <w:spacing w:after="0"/>
              <w:rPr>
                <w:sz w:val="20"/>
                <w:szCs w:val="20"/>
                <w:color w:val="auto"/>
              </w:rPr>
            </w:pPr>
            <w:r>
              <w:rPr>
                <w:rFonts w:ascii="Times New Roman" w:cs="Times New Roman" w:eastAsia="Times New Roman" w:hAnsi="Times New Roman"/>
                <w:sz w:val="18"/>
                <w:szCs w:val="18"/>
                <w:color w:val="auto"/>
              </w:rPr>
              <w:t>Alkermes plc</w:t>
            </w:r>
          </w:p>
        </w:tc>
        <w:tc>
          <w:tcPr>
            <w:tcW w:w="3760" w:type="dxa"/>
            <w:vAlign w:val="bottom"/>
            <w:tcBorders>
              <w:top w:val="single" w:sz="8" w:color="40AEAA"/>
              <w:right w:val="single" w:sz="8" w:color="40AEAA"/>
            </w:tcBorders>
          </w:tcPr>
          <w:p>
            <w:pPr>
              <w:ind w:left="840"/>
              <w:spacing w:after="0"/>
              <w:rPr>
                <w:sz w:val="20"/>
                <w:szCs w:val="20"/>
                <w:color w:val="auto"/>
              </w:rPr>
            </w:pPr>
            <w:r>
              <w:rPr>
                <w:rFonts w:ascii="Times New Roman" w:cs="Times New Roman" w:eastAsia="Times New Roman" w:hAnsi="Times New Roman"/>
                <w:sz w:val="18"/>
                <w:szCs w:val="18"/>
                <w:color w:val="auto"/>
              </w:rPr>
              <w:t>Alnylam Pharmaceuticals, Inc.</w:t>
            </w:r>
          </w:p>
        </w:tc>
      </w:tr>
      <w:tr>
        <w:trPr>
          <w:trHeight w:val="229"/>
        </w:trPr>
        <w:tc>
          <w:tcPr>
            <w:tcW w:w="3000" w:type="dxa"/>
            <w:vAlign w:val="bottom"/>
            <w:tcBorders>
              <w:left w:val="single" w:sz="8" w:color="40AEAA"/>
            </w:tcBorders>
          </w:tcPr>
          <w:p>
            <w:pPr>
              <w:ind w:left="40"/>
              <w:spacing w:after="0"/>
              <w:rPr>
                <w:sz w:val="20"/>
                <w:szCs w:val="20"/>
                <w:color w:val="auto"/>
              </w:rPr>
            </w:pPr>
            <w:r>
              <w:rPr>
                <w:rFonts w:ascii="Times New Roman" w:cs="Times New Roman" w:eastAsia="Times New Roman" w:hAnsi="Times New Roman"/>
                <w:sz w:val="18"/>
                <w:szCs w:val="18"/>
                <w:color w:val="auto"/>
              </w:rPr>
              <w:t>BeiGene, Ltd.</w:t>
            </w:r>
          </w:p>
        </w:tc>
        <w:tc>
          <w:tcPr>
            <w:tcW w:w="32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Biohaven Ltd.</w:t>
            </w:r>
          </w:p>
        </w:tc>
        <w:tc>
          <w:tcPr>
            <w:tcW w:w="3760" w:type="dxa"/>
            <w:vAlign w:val="bottom"/>
            <w:tcBorders>
              <w:right w:val="single" w:sz="8" w:color="40AEAA"/>
            </w:tcBorders>
          </w:tcPr>
          <w:p>
            <w:pPr>
              <w:ind w:left="840"/>
              <w:spacing w:after="0"/>
              <w:rPr>
                <w:sz w:val="20"/>
                <w:szCs w:val="20"/>
                <w:color w:val="auto"/>
              </w:rPr>
            </w:pPr>
            <w:r>
              <w:rPr>
                <w:rFonts w:ascii="Times New Roman" w:cs="Times New Roman" w:eastAsia="Times New Roman" w:hAnsi="Times New Roman"/>
                <w:sz w:val="18"/>
                <w:szCs w:val="18"/>
                <w:color w:val="auto"/>
              </w:rPr>
              <w:t>BioMarin Pharmaceuticals, Inc.</w:t>
            </w:r>
          </w:p>
        </w:tc>
      </w:tr>
      <w:tr>
        <w:trPr>
          <w:trHeight w:val="230"/>
        </w:trPr>
        <w:tc>
          <w:tcPr>
            <w:tcW w:w="3000" w:type="dxa"/>
            <w:vAlign w:val="bottom"/>
            <w:tcBorders>
              <w:left w:val="single" w:sz="8" w:color="40AEAA"/>
            </w:tcBorders>
          </w:tcPr>
          <w:p>
            <w:pPr>
              <w:ind w:left="40"/>
              <w:spacing w:after="0"/>
              <w:rPr>
                <w:sz w:val="20"/>
                <w:szCs w:val="20"/>
                <w:color w:val="auto"/>
              </w:rPr>
            </w:pPr>
            <w:r>
              <w:rPr>
                <w:rFonts w:ascii="Times New Roman" w:cs="Times New Roman" w:eastAsia="Times New Roman" w:hAnsi="Times New Roman"/>
                <w:sz w:val="18"/>
                <w:szCs w:val="18"/>
                <w:color w:val="auto"/>
              </w:rPr>
              <w:t>Exelixis, Inc.</w:t>
            </w:r>
          </w:p>
        </w:tc>
        <w:tc>
          <w:tcPr>
            <w:tcW w:w="32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Horizon Therapeutics plc</w:t>
            </w:r>
          </w:p>
        </w:tc>
        <w:tc>
          <w:tcPr>
            <w:tcW w:w="3760" w:type="dxa"/>
            <w:vAlign w:val="bottom"/>
            <w:tcBorders>
              <w:right w:val="single" w:sz="8" w:color="40AEAA"/>
            </w:tcBorders>
          </w:tcPr>
          <w:p>
            <w:pPr>
              <w:ind w:left="840"/>
              <w:spacing w:after="0"/>
              <w:rPr>
                <w:sz w:val="20"/>
                <w:szCs w:val="20"/>
                <w:color w:val="auto"/>
              </w:rPr>
            </w:pPr>
            <w:r>
              <w:rPr>
                <w:rFonts w:ascii="Times New Roman" w:cs="Times New Roman" w:eastAsia="Times New Roman" w:hAnsi="Times New Roman"/>
                <w:sz w:val="18"/>
                <w:szCs w:val="18"/>
                <w:color w:val="auto"/>
              </w:rPr>
              <w:t>Incyte Corporation</w:t>
            </w:r>
          </w:p>
        </w:tc>
      </w:tr>
      <w:tr>
        <w:trPr>
          <w:trHeight w:val="229"/>
        </w:trPr>
        <w:tc>
          <w:tcPr>
            <w:tcW w:w="3000" w:type="dxa"/>
            <w:vAlign w:val="bottom"/>
            <w:tcBorders>
              <w:left w:val="single" w:sz="8" w:color="40AEAA"/>
            </w:tcBorders>
          </w:tcPr>
          <w:p>
            <w:pPr>
              <w:ind w:left="40"/>
              <w:spacing w:after="0"/>
              <w:rPr>
                <w:sz w:val="20"/>
                <w:szCs w:val="20"/>
                <w:color w:val="auto"/>
              </w:rPr>
            </w:pPr>
            <w:r>
              <w:rPr>
                <w:rFonts w:ascii="Times New Roman" w:cs="Times New Roman" w:eastAsia="Times New Roman" w:hAnsi="Times New Roman"/>
                <w:sz w:val="18"/>
                <w:szCs w:val="18"/>
                <w:color w:val="auto"/>
              </w:rPr>
              <w:t>Ionis Pharmaceuticals, Inc.</w:t>
            </w:r>
          </w:p>
        </w:tc>
        <w:tc>
          <w:tcPr>
            <w:tcW w:w="32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Jazz Pharmaceuticals plc</w:t>
            </w:r>
          </w:p>
        </w:tc>
        <w:tc>
          <w:tcPr>
            <w:tcW w:w="3760" w:type="dxa"/>
            <w:vAlign w:val="bottom"/>
            <w:tcBorders>
              <w:right w:val="single" w:sz="8" w:color="40AEAA"/>
            </w:tcBorders>
          </w:tcPr>
          <w:p>
            <w:pPr>
              <w:ind w:left="840"/>
              <w:spacing w:after="0"/>
              <w:rPr>
                <w:sz w:val="20"/>
                <w:szCs w:val="20"/>
                <w:color w:val="auto"/>
              </w:rPr>
            </w:pPr>
            <w:r>
              <w:rPr>
                <w:rFonts w:ascii="Times New Roman" w:cs="Times New Roman" w:eastAsia="Times New Roman" w:hAnsi="Times New Roman"/>
                <w:sz w:val="18"/>
                <w:szCs w:val="18"/>
                <w:color w:val="auto"/>
              </w:rPr>
              <w:t>Mirati Therapeutics, Inc.</w:t>
            </w:r>
          </w:p>
        </w:tc>
      </w:tr>
      <w:tr>
        <w:trPr>
          <w:trHeight w:val="229"/>
        </w:trPr>
        <w:tc>
          <w:tcPr>
            <w:tcW w:w="3000" w:type="dxa"/>
            <w:vAlign w:val="bottom"/>
            <w:tcBorders>
              <w:left w:val="single" w:sz="8" w:color="40AEAA"/>
            </w:tcBorders>
          </w:tcPr>
          <w:p>
            <w:pPr>
              <w:ind w:left="40"/>
              <w:spacing w:after="0"/>
              <w:rPr>
                <w:sz w:val="20"/>
                <w:szCs w:val="20"/>
                <w:color w:val="auto"/>
              </w:rPr>
            </w:pPr>
            <w:r>
              <w:rPr>
                <w:rFonts w:ascii="Times New Roman" w:cs="Times New Roman" w:eastAsia="Times New Roman" w:hAnsi="Times New Roman"/>
                <w:sz w:val="18"/>
                <w:szCs w:val="18"/>
                <w:color w:val="auto"/>
              </w:rPr>
              <w:t>Sarepta Therapeutics, Inc.</w:t>
            </w:r>
          </w:p>
        </w:tc>
        <w:tc>
          <w:tcPr>
            <w:tcW w:w="32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Seagen Inc.</w:t>
            </w:r>
          </w:p>
        </w:tc>
        <w:tc>
          <w:tcPr>
            <w:tcW w:w="3760" w:type="dxa"/>
            <w:vAlign w:val="bottom"/>
            <w:tcBorders>
              <w:right w:val="single" w:sz="8" w:color="40AEAA"/>
            </w:tcBorders>
          </w:tcPr>
          <w:p>
            <w:pPr>
              <w:ind w:left="840"/>
              <w:spacing w:after="0"/>
              <w:rPr>
                <w:sz w:val="20"/>
                <w:szCs w:val="20"/>
                <w:color w:val="auto"/>
              </w:rPr>
            </w:pPr>
            <w:r>
              <w:rPr>
                <w:rFonts w:ascii="Times New Roman" w:cs="Times New Roman" w:eastAsia="Times New Roman" w:hAnsi="Times New Roman"/>
                <w:sz w:val="18"/>
                <w:szCs w:val="18"/>
                <w:color w:val="auto"/>
              </w:rPr>
              <w:t>Ultragenyx Pharmaceutical Inc</w:t>
            </w:r>
          </w:p>
        </w:tc>
      </w:tr>
      <w:tr>
        <w:trPr>
          <w:trHeight w:val="241"/>
        </w:trPr>
        <w:tc>
          <w:tcPr>
            <w:tcW w:w="3000" w:type="dxa"/>
            <w:vAlign w:val="bottom"/>
            <w:tcBorders>
              <w:left w:val="single" w:sz="8" w:color="40AEAA"/>
              <w:bottom w:val="single" w:sz="8" w:color="40AEAA"/>
            </w:tcBorders>
          </w:tcPr>
          <w:p>
            <w:pPr>
              <w:ind w:left="40"/>
              <w:spacing w:after="0"/>
              <w:rPr>
                <w:sz w:val="20"/>
                <w:szCs w:val="20"/>
                <w:color w:val="auto"/>
              </w:rPr>
            </w:pPr>
            <w:r>
              <w:rPr>
                <w:rFonts w:ascii="Times New Roman" w:cs="Times New Roman" w:eastAsia="Times New Roman" w:hAnsi="Times New Roman"/>
                <w:sz w:val="18"/>
                <w:szCs w:val="18"/>
                <w:color w:val="auto"/>
              </w:rPr>
              <w:t>United Therapeutics Corporation</w:t>
            </w:r>
          </w:p>
        </w:tc>
        <w:tc>
          <w:tcPr>
            <w:tcW w:w="3240" w:type="dxa"/>
            <w:vAlign w:val="bottom"/>
            <w:tcBorders>
              <w:bottom w:val="single" w:sz="8" w:color="40AEAA"/>
            </w:tcBorders>
          </w:tcPr>
          <w:p>
            <w:pPr>
              <w:spacing w:after="0"/>
              <w:rPr>
                <w:sz w:val="20"/>
                <w:szCs w:val="20"/>
                <w:color w:val="auto"/>
              </w:rPr>
            </w:pPr>
          </w:p>
        </w:tc>
        <w:tc>
          <w:tcPr>
            <w:tcW w:w="3760" w:type="dxa"/>
            <w:vAlign w:val="bottom"/>
            <w:tcBorders>
              <w:bottom w:val="single" w:sz="8" w:color="40AEAA"/>
              <w:right w:val="single" w:sz="8" w:color="40AEAA"/>
            </w:tcBorders>
          </w:tcPr>
          <w:p>
            <w:pPr>
              <w:spacing w:after="0"/>
              <w:rPr>
                <w:sz w:val="20"/>
                <w:szCs w:val="20"/>
                <w:color w:val="auto"/>
              </w:rPr>
            </w:pPr>
          </w:p>
        </w:tc>
      </w:tr>
    </w:tbl>
    <w:p>
      <w:pPr>
        <w:spacing w:after="0" w:line="2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2023 peer group reflects the following changes from our 2022 peer group: (i) the removal of Alexion Pharmaceuticals, Inc., due to its</w:t>
      </w:r>
    </w:p>
    <w:p>
      <w:pPr>
        <w:spacing w:after="0" w:line="27" w:lineRule="exact"/>
        <w:rPr>
          <w:sz w:val="20"/>
          <w:szCs w:val="20"/>
          <w:color w:val="auto"/>
        </w:rPr>
      </w:pPr>
    </w:p>
    <w:p>
      <w:pPr>
        <w:jc w:val="both"/>
        <w:ind w:right="520"/>
        <w:spacing w:after="0" w:line="263" w:lineRule="auto"/>
        <w:rPr>
          <w:sz w:val="20"/>
          <w:szCs w:val="20"/>
          <w:color w:val="auto"/>
        </w:rPr>
      </w:pPr>
      <w:r>
        <w:rPr>
          <w:rFonts w:ascii="Times New Roman" w:cs="Times New Roman" w:eastAsia="Times New Roman" w:hAnsi="Times New Roman"/>
          <w:sz w:val="17"/>
          <w:szCs w:val="17"/>
          <w:color w:val="auto"/>
        </w:rPr>
        <w:t>acquisition by AstraZeneca, and (ii) the removal of Nektar Therapeutics, as its market cap and revenue fell below the targeted range. At the time of approval of our 2023 peer group, our Company was approximately in the 55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percentile of the peer group for market capitalization and for revenue.</w:t>
      </w:r>
    </w:p>
    <w:p>
      <w:pPr>
        <w:spacing w:after="0" w:line="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2023 Market Data. </w:t>
      </w:r>
      <w:r>
        <w:rPr>
          <w:rFonts w:ascii="Times New Roman" w:cs="Times New Roman" w:eastAsia="Times New Roman" w:hAnsi="Times New Roman"/>
          <w:sz w:val="18"/>
          <w:szCs w:val="18"/>
          <w:color w:val="auto"/>
        </w:rPr>
        <w:t>In late 2022, FW Cook completed an assessment of executive officer compensation based on the 2023 peer group to inform the</w:t>
      </w:r>
    </w:p>
    <w:p>
      <w:pPr>
        <w:spacing w:after="0" w:line="219" w:lineRule="auto"/>
        <w:rPr>
          <w:sz w:val="20"/>
          <w:szCs w:val="20"/>
          <w:color w:val="auto"/>
        </w:rPr>
      </w:pPr>
      <w:r>
        <w:rPr>
          <w:rFonts w:ascii="Times New Roman" w:cs="Times New Roman" w:eastAsia="Times New Roman" w:hAnsi="Times New Roman"/>
          <w:sz w:val="18"/>
          <w:szCs w:val="18"/>
          <w:color w:val="auto"/>
        </w:rPr>
        <w:t>Committee’s determinations of executive officer compensation for 2023. The data for this assessment was compiled from multiple sources, including:</w:t>
      </w:r>
    </w:p>
    <w:p>
      <w:pPr>
        <w:ind w:right="100" w:firstLine="8"/>
        <w:spacing w:after="0" w:line="215" w:lineRule="auto"/>
        <w:tabs>
          <w:tab w:leader="none" w:pos="2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2023 peer group companies’ publicly disclosed information, or public peer data; and (ii) survey data from the Radford Global Compensation Database for peer companies and biotechnology and pharmaceutical companies that had annual revenue between $500 million and $3.0 billion. The components of this data were based on the availability of sufficient comparative data for an executive officer’s position. The public peer data and survey data, collectively referred to in this Proxy Statement together as market data, were reviewed by the Committee, with the assistance of FW Cook, and used as one reference point, in addition to other factors, in setting our executive officers’ compensation for 2023.</w:t>
      </w:r>
    </w:p>
    <w:p>
      <w:pPr>
        <w:spacing w:after="0" w:line="158" w:lineRule="exact"/>
        <w:rPr>
          <w:sz w:val="20"/>
          <w:szCs w:val="20"/>
          <w:color w:val="auto"/>
        </w:rPr>
      </w:pPr>
    </w:p>
    <w:p>
      <w:pPr>
        <w:ind w:firstLine="551"/>
        <w:spacing w:after="0" w:line="224" w:lineRule="auto"/>
        <w:rPr>
          <w:sz w:val="20"/>
          <w:szCs w:val="20"/>
          <w:color w:val="auto"/>
        </w:rPr>
      </w:pPr>
      <w:r>
        <w:rPr>
          <w:rFonts w:ascii="Times New Roman" w:cs="Times New Roman" w:eastAsia="Times New Roman" w:hAnsi="Times New Roman"/>
          <w:sz w:val="18"/>
          <w:szCs w:val="18"/>
          <w:i w:val="1"/>
          <w:iCs w:val="1"/>
          <w:color w:val="auto"/>
        </w:rPr>
        <w:t xml:space="preserve">Use of 2023 Market Data. </w:t>
      </w:r>
      <w:r>
        <w:rPr>
          <w:rFonts w:ascii="Times New Roman" w:cs="Times New Roman" w:eastAsia="Times New Roman" w:hAnsi="Times New Roman"/>
          <w:sz w:val="18"/>
          <w:szCs w:val="18"/>
          <w:color w:val="auto"/>
        </w:rPr>
        <w:t>The Committee generally reviews target total direct compensation, comprising both target cash compensation and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against the market data described above primarily to ensure that our executive officer compensation program as a whole is positioned</w:t>
      </w:r>
    </w:p>
    <w:p>
      <w:pPr>
        <w:ind w:right="20"/>
        <w:spacing w:after="0" w:line="208" w:lineRule="auto"/>
        <w:rPr>
          <w:sz w:val="20"/>
          <w:szCs w:val="20"/>
          <w:color w:val="auto"/>
        </w:rPr>
      </w:pPr>
      <w:r>
        <w:rPr>
          <w:rFonts w:ascii="Times New Roman" w:cs="Times New Roman" w:eastAsia="Times New Roman" w:hAnsi="Times New Roman"/>
          <w:sz w:val="18"/>
          <w:szCs w:val="18"/>
          <w:color w:val="auto"/>
        </w:rPr>
        <w:t>competitively to attract and retain the highest caliber executive officers and that the total direct compensation opportunity for the executive officer group is aligned with our corporate objectives and strategic needs. The Committee does not have a specific target compensation level for the NEOs; rather, the Committee reviews a range of market data reference points with respect to target total direct compensation, target total cash compensation (including both</w:t>
      </w:r>
    </w:p>
    <w:p>
      <w:pPr>
        <w:spacing w:after="0" w:line="2" w:lineRule="exact"/>
        <w:rPr>
          <w:sz w:val="20"/>
          <w:szCs w:val="20"/>
          <w:color w:val="auto"/>
        </w:rPr>
      </w:pPr>
    </w:p>
    <w:p>
      <w:pPr>
        <w:ind w:right="540"/>
        <w:spacing w:after="0" w:line="218" w:lineRule="auto"/>
        <w:rPr>
          <w:sz w:val="20"/>
          <w:szCs w:val="20"/>
          <w:color w:val="auto"/>
        </w:rPr>
      </w:pPr>
      <w:r>
        <w:rPr>
          <w:rFonts w:ascii="Times New Roman" w:cs="Times New Roman" w:eastAsia="Times New Roman" w:hAnsi="Times New Roman"/>
          <w:sz w:val="18"/>
          <w:szCs w:val="18"/>
          <w:color w:val="auto"/>
        </w:rPr>
        <w:t>base salary and the target annual cash incentive) and equity compensation (valued based on an approximation of grant date fair value). In making compensation determinations, the Committee considers the market data, along with the other factors described above under “Overall Compensation Determination Process.”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Executive Compensation</w:t>
      </w:r>
    </w:p>
    <w:p>
      <w:pPr>
        <w:spacing w:after="0" w:line="189" w:lineRule="exact"/>
        <w:rPr>
          <w:sz w:val="20"/>
          <w:szCs w:val="20"/>
          <w:color w:val="auto"/>
        </w:rPr>
      </w:pPr>
    </w:p>
    <w:p>
      <w:pPr>
        <w:ind w:right="200" w:firstLine="551"/>
        <w:spacing w:after="0" w:line="222" w:lineRule="auto"/>
        <w:rPr>
          <w:sz w:val="20"/>
          <w:szCs w:val="20"/>
          <w:color w:val="auto"/>
        </w:rPr>
      </w:pPr>
      <w:r>
        <w:rPr>
          <w:rFonts w:ascii="Times New Roman" w:cs="Times New Roman" w:eastAsia="Times New Roman" w:hAnsi="Times New Roman"/>
          <w:sz w:val="18"/>
          <w:szCs w:val="18"/>
          <w:color w:val="auto"/>
        </w:rPr>
        <w:t>The Committee considers each executive officer’s performance, contributions to Company goals, responsibilities, experience, qualifications, and where in the competitive range the executive officer’s compensation compares to the Company’s peer group when determining the appropriate</w:t>
      </w:r>
    </w:p>
    <w:p>
      <w:pPr>
        <w:spacing w:after="0" w:line="2" w:lineRule="exact"/>
        <w:rPr>
          <w:sz w:val="20"/>
          <w:szCs w:val="20"/>
          <w:color w:val="auto"/>
        </w:rPr>
      </w:pPr>
    </w:p>
    <w:p>
      <w:pPr>
        <w:jc w:val="both"/>
        <w:ind w:right="60"/>
        <w:spacing w:after="0" w:line="220" w:lineRule="auto"/>
        <w:rPr>
          <w:sz w:val="20"/>
          <w:szCs w:val="20"/>
          <w:color w:val="auto"/>
        </w:rPr>
      </w:pPr>
      <w:r>
        <w:rPr>
          <w:rFonts w:ascii="Times New Roman" w:cs="Times New Roman" w:eastAsia="Times New Roman" w:hAnsi="Times New Roman"/>
          <w:sz w:val="17"/>
          <w:szCs w:val="17"/>
          <w:color w:val="auto"/>
        </w:rPr>
        <w:t>compensation for each executive officer. The Committee considers each component of compensation independently and each component in the context of each executive officer’s total compensation. Compensation for our NEOs currently consists of three key elements that are designed to reward performance in a simple and straightforward manner: base salaries, annual performance-based cash incentives and long-term equity awards, which generally include</w:t>
      </w:r>
    </w:p>
    <w:p>
      <w:pPr>
        <w:spacing w:after="0" w:line="2"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8"/>
          <w:szCs w:val="18"/>
          <w:color w:val="auto"/>
        </w:rPr>
        <w:t>restricted stock units ("RSUs"), and stock options, which both vest based on continued service over time, and PRSUs, which vest upon achievement of key corporate goals that we believe will create stockholder value. The table below summarizes the purpose and key characteristics of each Compensation Element, with those associated with at-risk pay shown in pink font.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1260"/>
        <w:spacing w:after="0"/>
        <w:tabs>
          <w:tab w:leader="none" w:pos="5100" w:val="left"/>
          <w:tab w:leader="none" w:pos="1200" w:val="left"/>
        </w:tabs>
        <w:rPr>
          <w:sz w:val="20"/>
          <w:szCs w:val="20"/>
          <w:color w:val="auto"/>
        </w:rPr>
      </w:pPr>
      <w:r>
        <w:rPr>
          <w:rFonts w:ascii="Times New Roman" w:cs="Times New Roman" w:eastAsia="Times New Roman" w:hAnsi="Times New Roman"/>
          <w:sz w:val="14"/>
          <w:szCs w:val="14"/>
          <w:b w:val="1"/>
          <w:bCs w:val="1"/>
          <w:color w:val="auto"/>
        </w:rPr>
        <w:t>Compensation Element</w:t>
      </w:r>
      <w:r>
        <w:rPr>
          <w:sz w:val="20"/>
          <w:szCs w:val="20"/>
          <w:color w:val="auto"/>
        </w:rPr>
        <w:tab/>
      </w:r>
      <w:r>
        <w:rPr>
          <w:rFonts w:ascii="Times New Roman" w:cs="Times New Roman" w:eastAsia="Times New Roman" w:hAnsi="Times New Roman"/>
          <w:sz w:val="14"/>
          <w:szCs w:val="14"/>
          <w:b w:val="1"/>
          <w:bCs w:val="1"/>
          <w:color w:val="auto"/>
        </w:rPr>
        <w:t>Purpose of This Element</w:t>
      </w:r>
      <w:r>
        <w:rPr>
          <w:sz w:val="20"/>
          <w:szCs w:val="20"/>
          <w:color w:val="auto"/>
        </w:rPr>
        <w:tab/>
      </w:r>
      <w:r>
        <w:rPr>
          <w:rFonts w:ascii="Times New Roman" w:cs="Times New Roman" w:eastAsia="Times New Roman" w:hAnsi="Times New Roman"/>
          <w:sz w:val="14"/>
          <w:szCs w:val="14"/>
          <w:b w:val="1"/>
          <w:bCs w:val="1"/>
          <w:color w:val="auto"/>
        </w:rPr>
        <w:t>Key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p>
      <w:pPr>
        <w:spacing w:after="0" w:line="60" w:lineRule="exact"/>
        <w:rPr>
          <w:sz w:val="20"/>
          <w:szCs w:val="20"/>
          <w:color w:val="auto"/>
        </w:rPr>
      </w:pPr>
    </w:p>
    <w:p>
      <w:pPr>
        <w:ind w:left="20"/>
        <w:spacing w:after="0"/>
        <w:tabs>
          <w:tab w:leader="none" w:pos="3740" w:val="left"/>
        </w:tabs>
        <w:rPr>
          <w:sz w:val="20"/>
          <w:szCs w:val="20"/>
          <w:color w:val="auto"/>
        </w:rPr>
      </w:pPr>
      <w:r>
        <w:rPr>
          <w:rFonts w:ascii="Times New Roman" w:cs="Times New Roman" w:eastAsia="Times New Roman" w:hAnsi="Times New Roman"/>
          <w:sz w:val="16"/>
          <w:szCs w:val="16"/>
          <w:b w:val="1"/>
          <w:bCs w:val="1"/>
          <w:color w:val="40AEAA"/>
        </w:rPr>
        <w:t>Base Salary</w:t>
      </w:r>
      <w:r>
        <w:rPr>
          <w:sz w:val="20"/>
          <w:szCs w:val="20"/>
          <w:color w:val="auto"/>
        </w:rPr>
        <w:tab/>
      </w:r>
      <w:r>
        <w:rPr>
          <w:rFonts w:ascii="Times New Roman" w:cs="Times New Roman" w:eastAsia="Times New Roman" w:hAnsi="Times New Roman"/>
          <w:sz w:val="16"/>
          <w:szCs w:val="16"/>
          <w:color w:val="auto"/>
        </w:rPr>
        <w:t>Designed to compensate competitively at levels</w:t>
      </w:r>
    </w:p>
    <w:p>
      <w:pPr>
        <w:ind w:left="3760"/>
        <w:spacing w:after="0" w:line="211" w:lineRule="auto"/>
        <w:rPr>
          <w:sz w:val="20"/>
          <w:szCs w:val="20"/>
          <w:color w:val="auto"/>
        </w:rPr>
      </w:pPr>
      <w:r>
        <w:rPr>
          <w:rFonts w:ascii="Times New Roman" w:cs="Times New Roman" w:eastAsia="Times New Roman" w:hAnsi="Times New Roman"/>
          <w:sz w:val="16"/>
          <w:szCs w:val="16"/>
          <w:color w:val="auto"/>
        </w:rPr>
        <w:t>necessary to attract and retain qualified executive</w:t>
      </w:r>
    </w:p>
    <w:p>
      <w:pPr>
        <w:ind w:left="3760"/>
        <w:spacing w:after="0" w:line="211" w:lineRule="auto"/>
        <w:rPr>
          <w:sz w:val="20"/>
          <w:szCs w:val="20"/>
          <w:color w:val="auto"/>
        </w:rPr>
      </w:pPr>
      <w:r>
        <w:rPr>
          <w:rFonts w:ascii="Times New Roman" w:cs="Times New Roman" w:eastAsia="Times New Roman" w:hAnsi="Times New Roman"/>
          <w:sz w:val="16"/>
          <w:szCs w:val="16"/>
          <w:color w:val="auto"/>
        </w:rPr>
        <w:t>officers in the life sciences industry; generally based on</w:t>
      </w:r>
    </w:p>
    <w:p>
      <w:pPr>
        <w:ind w:left="3760"/>
        <w:spacing w:after="0" w:line="211" w:lineRule="auto"/>
        <w:rPr>
          <w:sz w:val="20"/>
          <w:szCs w:val="20"/>
          <w:color w:val="auto"/>
        </w:rPr>
      </w:pPr>
      <w:r>
        <w:rPr>
          <w:rFonts w:ascii="Times New Roman" w:cs="Times New Roman" w:eastAsia="Times New Roman" w:hAnsi="Times New Roman"/>
          <w:sz w:val="16"/>
          <w:szCs w:val="16"/>
          <w:color w:val="auto"/>
        </w:rPr>
        <w:t>the scope of each executive officer’s responsibilities, as</w:t>
      </w:r>
    </w:p>
    <w:p>
      <w:pPr>
        <w:ind w:left="3760"/>
        <w:spacing w:after="0" w:line="212" w:lineRule="auto"/>
        <w:rPr>
          <w:sz w:val="20"/>
          <w:szCs w:val="20"/>
          <w:color w:val="auto"/>
        </w:rPr>
      </w:pPr>
      <w:r>
        <w:rPr>
          <w:rFonts w:ascii="Times New Roman" w:cs="Times New Roman" w:eastAsia="Times New Roman" w:hAnsi="Times New Roman"/>
          <w:sz w:val="16"/>
          <w:szCs w:val="16"/>
          <w:color w:val="auto"/>
        </w:rPr>
        <w:t>well as his/her qualifications, breadth of experience,</w:t>
      </w:r>
    </w:p>
    <w:p>
      <w:pPr>
        <w:ind w:left="3760"/>
        <w:spacing w:after="0" w:line="211" w:lineRule="auto"/>
        <w:rPr>
          <w:sz w:val="20"/>
          <w:szCs w:val="20"/>
          <w:color w:val="auto"/>
        </w:rPr>
      </w:pPr>
      <w:r>
        <w:rPr>
          <w:rFonts w:ascii="Times New Roman" w:cs="Times New Roman" w:eastAsia="Times New Roman" w:hAnsi="Times New Roman"/>
          <w:sz w:val="16"/>
          <w:szCs w:val="16"/>
          <w:color w:val="auto"/>
        </w:rPr>
        <w:t>performance record and depth of applicable functional</w:t>
      </w:r>
    </w:p>
    <w:p>
      <w:pPr>
        <w:ind w:left="3760"/>
        <w:spacing w:after="0" w:line="211" w:lineRule="auto"/>
        <w:rPr>
          <w:sz w:val="20"/>
          <w:szCs w:val="20"/>
          <w:color w:val="auto"/>
        </w:rPr>
      </w:pPr>
      <w:r>
        <w:rPr>
          <w:rFonts w:ascii="Times New Roman" w:cs="Times New Roman" w:eastAsia="Times New Roman" w:hAnsi="Times New Roman"/>
          <w:sz w:val="16"/>
          <w:szCs w:val="16"/>
          <w:color w:val="auto"/>
        </w:rPr>
        <w:t>expertise; established and adjusted to be appropriate as</w:t>
      </w:r>
    </w:p>
    <w:p>
      <w:pPr>
        <w:ind w:left="3760"/>
        <w:spacing w:after="0" w:line="212" w:lineRule="auto"/>
        <w:rPr>
          <w:sz w:val="20"/>
          <w:szCs w:val="20"/>
          <w:color w:val="auto"/>
        </w:rPr>
      </w:pPr>
      <w:r>
        <w:rPr>
          <w:rFonts w:ascii="Times New Roman" w:cs="Times New Roman" w:eastAsia="Times New Roman" w:hAnsi="Times New Roman"/>
          <w:sz w:val="16"/>
          <w:szCs w:val="16"/>
          <w:color w:val="auto"/>
        </w:rPr>
        <w:t>compared to the applicable market data, enabling the</w:t>
      </w:r>
    </w:p>
    <w:p>
      <w:pPr>
        <w:ind w:left="3760"/>
        <w:spacing w:after="0" w:line="211" w:lineRule="auto"/>
        <w:rPr>
          <w:sz w:val="20"/>
          <w:szCs w:val="20"/>
          <w:color w:val="auto"/>
        </w:rPr>
      </w:pPr>
      <w:r>
        <w:rPr>
          <w:rFonts w:ascii="Times New Roman" w:cs="Times New Roman" w:eastAsia="Times New Roman" w:hAnsi="Times New Roman"/>
          <w:sz w:val="16"/>
          <w:szCs w:val="16"/>
          <w:color w:val="auto"/>
        </w:rPr>
        <w:t>Company to attract, motivate, reward and retain highly</w:t>
      </w:r>
    </w:p>
    <w:p>
      <w:pPr>
        <w:ind w:left="3760"/>
        <w:spacing w:after="0" w:line="211" w:lineRule="auto"/>
        <w:rPr>
          <w:sz w:val="20"/>
          <w:szCs w:val="20"/>
          <w:color w:val="auto"/>
        </w:rPr>
      </w:pPr>
      <w:r>
        <w:rPr>
          <w:rFonts w:ascii="Times New Roman" w:cs="Times New Roman" w:eastAsia="Times New Roman" w:hAnsi="Times New Roman"/>
          <w:sz w:val="16"/>
          <w:szCs w:val="16"/>
          <w:color w:val="auto"/>
        </w:rPr>
        <w:t>skilled executive officers; gives executive officers a</w:t>
      </w:r>
    </w:p>
    <w:p>
      <w:pPr>
        <w:ind w:left="3760"/>
        <w:spacing w:after="0" w:line="212" w:lineRule="auto"/>
        <w:rPr>
          <w:sz w:val="20"/>
          <w:szCs w:val="20"/>
          <w:color w:val="auto"/>
        </w:rPr>
      </w:pPr>
      <w:r>
        <w:rPr>
          <w:rFonts w:ascii="Times New Roman" w:cs="Times New Roman" w:eastAsia="Times New Roman" w:hAnsi="Times New Roman"/>
          <w:sz w:val="16"/>
          <w:szCs w:val="16"/>
          <w:color w:val="auto"/>
        </w:rPr>
        <w:t>degree of certainty in light of having a majority of their</w:t>
      </w:r>
    </w:p>
    <w:p>
      <w:pPr>
        <w:ind w:left="3760"/>
        <w:spacing w:after="0"/>
        <w:rPr>
          <w:sz w:val="20"/>
          <w:szCs w:val="20"/>
          <w:color w:val="auto"/>
        </w:rPr>
      </w:pPr>
      <w:r>
        <w:rPr>
          <w:rFonts w:ascii="Times New Roman" w:cs="Times New Roman" w:eastAsia="Times New Roman" w:hAnsi="Times New Roman"/>
          <w:sz w:val="16"/>
          <w:szCs w:val="16"/>
          <w:color w:val="auto"/>
        </w:rPr>
        <w:t>compensation at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6"/>
          <w:szCs w:val="16"/>
          <w:color w:val="auto"/>
        </w:rPr>
        <w:t>Fixed cash compensation where year-to-year adjustments to each executive officer’s base salary are based upon sustained superior performance, changes in the general level of base salaries of persons in comparable positions within our industry, and any average merit salary increase for such year for all employees of the Company established by the Committee, as well as other factors the Committee judges to be pertinent during an assessment period.</w:t>
      </w:r>
    </w:p>
    <w:p>
      <w:pPr>
        <w:spacing w:after="0" w:line="116" w:lineRule="exact"/>
        <w:rPr>
          <w:sz w:val="20"/>
          <w:szCs w:val="20"/>
          <w:color w:val="auto"/>
        </w:rPr>
      </w:pPr>
    </w:p>
    <w:p>
      <w:pPr>
        <w:ind w:right="300"/>
        <w:spacing w:after="0" w:line="221" w:lineRule="auto"/>
        <w:rPr>
          <w:sz w:val="20"/>
          <w:szCs w:val="20"/>
          <w:color w:val="auto"/>
        </w:rPr>
      </w:pPr>
      <w:r>
        <w:rPr>
          <w:rFonts w:ascii="Times New Roman" w:cs="Times New Roman" w:eastAsia="Times New Roman" w:hAnsi="Times New Roman"/>
          <w:sz w:val="16"/>
          <w:szCs w:val="16"/>
          <w:color w:val="auto"/>
        </w:rPr>
        <w:t>In making base salary decisions, the Committee exercises its judgment to determine the appropriate weight to be given to each of these factors. Although adjustments may also be made during the year for special circumstances, no mid-year adjustments have been made in the past five years.</w:t>
      </w:r>
    </w:p>
    <w:p>
      <w:pPr>
        <w:spacing w:after="0" w:line="17" w:lineRule="exact"/>
        <w:rPr>
          <w:sz w:val="20"/>
          <w:szCs w:val="20"/>
          <w:color w:val="auto"/>
        </w:rPr>
      </w:pPr>
    </w:p>
    <w:p>
      <w:pPr>
        <w:sectPr>
          <w:pgSz w:w="11900" w:h="16838" w:orient="portrait"/>
          <w:cols w:equalWidth="0" w:num="2">
            <w:col w:w="7360" w:space="140"/>
            <w:col w:w="3740"/>
          </w:cols>
          <w:pgMar w:left="320" w:top="112" w:right="339" w:bottom="1440" w:gutter="0" w:footer="0" w:header="0"/>
          <w:type w:val="continuous"/>
        </w:sectPr>
      </w:pPr>
    </w:p>
    <w:p>
      <w:pPr>
        <w:ind w:left="20"/>
        <w:spacing w:after="0"/>
        <w:tabs>
          <w:tab w:leader="none" w:pos="3740" w:val="left"/>
        </w:tabs>
        <w:rPr>
          <w:sz w:val="20"/>
          <w:szCs w:val="20"/>
          <w:color w:val="auto"/>
        </w:rPr>
      </w:pPr>
      <w:r>
        <w:rPr>
          <w:rFonts w:ascii="Times New Roman" w:cs="Times New Roman" w:eastAsia="Times New Roman" w:hAnsi="Times New Roman"/>
          <w:sz w:val="16"/>
          <w:szCs w:val="16"/>
          <w:b w:val="1"/>
          <w:bCs w:val="1"/>
          <w:color w:val="BC3F84"/>
        </w:rPr>
        <w:t>Annual Cash Incentives</w:t>
      </w:r>
      <w:r>
        <w:rPr>
          <w:sz w:val="20"/>
          <w:szCs w:val="20"/>
          <w:color w:val="auto"/>
        </w:rPr>
        <w:tab/>
      </w:r>
      <w:r>
        <w:rPr>
          <w:rFonts w:ascii="Times New Roman" w:cs="Times New Roman" w:eastAsia="Times New Roman" w:hAnsi="Times New Roman"/>
          <w:sz w:val="16"/>
          <w:szCs w:val="16"/>
          <w:color w:val="auto"/>
        </w:rPr>
        <w:t>Motivates executive officers to achieve our short-term</w:t>
      </w:r>
    </w:p>
    <w:p>
      <w:pPr>
        <w:ind w:left="3760"/>
        <w:spacing w:after="0" w:line="211" w:lineRule="auto"/>
        <w:rPr>
          <w:sz w:val="20"/>
          <w:szCs w:val="20"/>
          <w:color w:val="auto"/>
        </w:rPr>
      </w:pPr>
      <w:r>
        <w:rPr>
          <w:rFonts w:ascii="Times New Roman" w:cs="Times New Roman" w:eastAsia="Times New Roman" w:hAnsi="Times New Roman"/>
          <w:sz w:val="16"/>
          <w:szCs w:val="16"/>
          <w:color w:val="auto"/>
        </w:rPr>
        <w:t>strategic plan and milestones that are designed to drive</w:t>
      </w:r>
    </w:p>
    <w:p>
      <w:pPr>
        <w:ind w:left="3760"/>
        <w:spacing w:after="0" w:line="211" w:lineRule="auto"/>
        <w:rPr>
          <w:sz w:val="20"/>
          <w:szCs w:val="20"/>
          <w:color w:val="auto"/>
        </w:rPr>
      </w:pPr>
      <w:r>
        <w:rPr>
          <w:rFonts w:ascii="Times New Roman" w:cs="Times New Roman" w:eastAsia="Times New Roman" w:hAnsi="Times New Roman"/>
          <w:sz w:val="16"/>
          <w:szCs w:val="16"/>
          <w:color w:val="auto"/>
        </w:rPr>
        <w:t>long-term growth and performance while providing</w:t>
      </w:r>
    </w:p>
    <w:p>
      <w:pPr>
        <w:ind w:left="3760"/>
        <w:spacing w:after="0" w:line="211" w:lineRule="auto"/>
        <w:rPr>
          <w:sz w:val="20"/>
          <w:szCs w:val="20"/>
          <w:color w:val="auto"/>
        </w:rPr>
      </w:pPr>
      <w:r>
        <w:rPr>
          <w:rFonts w:ascii="Times New Roman" w:cs="Times New Roman" w:eastAsia="Times New Roman" w:hAnsi="Times New Roman"/>
          <w:sz w:val="16"/>
          <w:szCs w:val="16"/>
          <w:color w:val="auto"/>
        </w:rPr>
        <w:t>flexibility to respond to opportunities and changing</w:t>
      </w:r>
    </w:p>
    <w:p>
      <w:pPr>
        <w:spacing w:after="0" w:line="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color w:val="auto"/>
        </w:rPr>
        <w:t>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1140460</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80"/>
        <w:spacing w:after="0" w:line="227" w:lineRule="auto"/>
        <w:rPr>
          <w:sz w:val="20"/>
          <w:szCs w:val="20"/>
          <w:color w:val="auto"/>
        </w:rPr>
      </w:pPr>
      <w:r>
        <w:rPr>
          <w:rFonts w:ascii="Times New Roman" w:cs="Times New Roman" w:eastAsia="Times New Roman" w:hAnsi="Times New Roman"/>
          <w:sz w:val="16"/>
          <w:szCs w:val="16"/>
          <w:color w:val="auto"/>
        </w:rPr>
        <w:t>Annual cash award opportunity based on corporate performance compared to pre-established corporate goals with pre-established target and maximum payout opportunities for each executive officer.</w:t>
      </w:r>
    </w:p>
    <w:p>
      <w:pPr>
        <w:spacing w:after="0" w:line="114" w:lineRule="exact"/>
        <w:rPr>
          <w:sz w:val="20"/>
          <w:szCs w:val="20"/>
          <w:color w:val="auto"/>
        </w:rPr>
      </w:pPr>
    </w:p>
    <w:p>
      <w:pPr>
        <w:ind w:right="60"/>
        <w:spacing w:after="0" w:line="217" w:lineRule="auto"/>
        <w:rPr>
          <w:sz w:val="20"/>
          <w:szCs w:val="20"/>
          <w:color w:val="auto"/>
        </w:rPr>
      </w:pPr>
      <w:r>
        <w:rPr>
          <w:rFonts w:ascii="Times New Roman" w:cs="Times New Roman" w:eastAsia="Times New Roman" w:hAnsi="Times New Roman"/>
          <w:sz w:val="16"/>
          <w:szCs w:val="16"/>
          <w:color w:val="auto"/>
        </w:rPr>
        <w:t>The cash incentive program, including corporate goals and target payouts, are reviewed and approved by the Committee annually and may include individual performance targets for each executive officer. The corporate goals are prepared in an interactive process between management and the Committee based on the Company’s business plan and budget for the year. Cash incentive payments are linked to the attainment of overall corporate goals and the individual performance of each executive officer, or other factors the Committee determines appropriate.</w:t>
      </w:r>
    </w:p>
    <w:p>
      <w:pPr>
        <w:spacing w:after="0" w:line="14" w:lineRule="exact"/>
        <w:rPr>
          <w:sz w:val="20"/>
          <w:szCs w:val="20"/>
          <w:color w:val="auto"/>
        </w:rPr>
      </w:pPr>
    </w:p>
    <w:p>
      <w:pPr>
        <w:sectPr>
          <w:pgSz w:w="11900" w:h="16838" w:orient="portrait"/>
          <w:cols w:equalWidth="0" w:num="2">
            <w:col w:w="7300" w:space="200"/>
            <w:col w:w="3740"/>
          </w:cols>
          <w:pgMar w:left="320" w:top="112" w:right="339" w:bottom="1440" w:gutter="0" w:footer="0" w:header="0"/>
          <w:type w:val="continuous"/>
        </w:sectPr>
      </w:pPr>
    </w:p>
    <w:p>
      <w:pPr>
        <w:ind w:left="20"/>
        <w:spacing w:after="0"/>
        <w:tabs>
          <w:tab w:leader="none" w:pos="3740" w:val="left"/>
        </w:tabs>
        <w:rPr>
          <w:sz w:val="20"/>
          <w:szCs w:val="20"/>
          <w:color w:val="auto"/>
        </w:rPr>
      </w:pPr>
      <w:r>
        <w:rPr>
          <w:rFonts w:ascii="Times New Roman" w:cs="Times New Roman" w:eastAsia="Times New Roman" w:hAnsi="Times New Roman"/>
          <w:sz w:val="16"/>
          <w:szCs w:val="16"/>
          <w:b w:val="1"/>
          <w:bCs w:val="1"/>
          <w:color w:val="40AEAA"/>
        </w:rPr>
        <w:t>Long-Term Equity Incentives (RSUs)</w:t>
      </w:r>
      <w:r>
        <w:rPr>
          <w:sz w:val="20"/>
          <w:szCs w:val="20"/>
          <w:color w:val="auto"/>
        </w:rPr>
        <w:tab/>
      </w:r>
      <w:r>
        <w:rPr>
          <w:rFonts w:ascii="Times New Roman" w:cs="Times New Roman" w:eastAsia="Times New Roman" w:hAnsi="Times New Roman"/>
          <w:sz w:val="16"/>
          <w:szCs w:val="16"/>
          <w:color w:val="auto"/>
        </w:rPr>
        <w:t>Motivates executive officers to achieve our business</w:t>
      </w:r>
    </w:p>
    <w:p>
      <w:pPr>
        <w:ind w:left="3760"/>
        <w:spacing w:after="0" w:line="211" w:lineRule="auto"/>
        <w:rPr>
          <w:sz w:val="20"/>
          <w:szCs w:val="20"/>
          <w:color w:val="auto"/>
        </w:rPr>
      </w:pPr>
      <w:r>
        <w:rPr>
          <w:rFonts w:ascii="Times New Roman" w:cs="Times New Roman" w:eastAsia="Times New Roman" w:hAnsi="Times New Roman"/>
          <w:sz w:val="16"/>
          <w:szCs w:val="16"/>
          <w:color w:val="auto"/>
        </w:rPr>
        <w:t>objectives by tying compensation to the performance of</w:t>
      </w:r>
    </w:p>
    <w:p>
      <w:pPr>
        <w:ind w:left="3760"/>
        <w:spacing w:after="0" w:line="211" w:lineRule="auto"/>
        <w:rPr>
          <w:sz w:val="20"/>
          <w:szCs w:val="20"/>
          <w:color w:val="auto"/>
        </w:rPr>
      </w:pPr>
      <w:r>
        <w:rPr>
          <w:rFonts w:ascii="Times New Roman" w:cs="Times New Roman" w:eastAsia="Times New Roman" w:hAnsi="Times New Roman"/>
          <w:sz w:val="16"/>
          <w:szCs w:val="16"/>
          <w:color w:val="auto"/>
        </w:rPr>
        <w:t>our common stock over the long term; creates an</w:t>
      </w:r>
    </w:p>
    <w:p>
      <w:pPr>
        <w:ind w:left="3760"/>
        <w:spacing w:after="0" w:line="211" w:lineRule="auto"/>
        <w:rPr>
          <w:sz w:val="20"/>
          <w:szCs w:val="20"/>
          <w:color w:val="auto"/>
        </w:rPr>
      </w:pPr>
      <w:r>
        <w:rPr>
          <w:rFonts w:ascii="Times New Roman" w:cs="Times New Roman" w:eastAsia="Times New Roman" w:hAnsi="Times New Roman"/>
          <w:sz w:val="16"/>
          <w:szCs w:val="16"/>
          <w:color w:val="auto"/>
        </w:rPr>
        <w:t>ownership culture; motivates our executive officers to</w:t>
      </w:r>
    </w:p>
    <w:p>
      <w:pPr>
        <w:ind w:left="3760"/>
        <w:spacing w:after="0" w:line="212" w:lineRule="auto"/>
        <w:rPr>
          <w:sz w:val="20"/>
          <w:szCs w:val="20"/>
          <w:color w:val="auto"/>
        </w:rPr>
      </w:pPr>
      <w:r>
        <w:rPr>
          <w:rFonts w:ascii="Times New Roman" w:cs="Times New Roman" w:eastAsia="Times New Roman" w:hAnsi="Times New Roman"/>
          <w:sz w:val="16"/>
          <w:szCs w:val="16"/>
          <w:color w:val="auto"/>
        </w:rPr>
        <w:t>remain with the Company by mitigating swings in</w:t>
      </w:r>
    </w:p>
    <w:p>
      <w:pPr>
        <w:ind w:left="3760"/>
        <w:spacing w:after="0" w:line="211" w:lineRule="auto"/>
        <w:rPr>
          <w:sz w:val="20"/>
          <w:szCs w:val="20"/>
          <w:color w:val="auto"/>
        </w:rPr>
      </w:pPr>
      <w:r>
        <w:rPr>
          <w:rFonts w:ascii="Times New Roman" w:cs="Times New Roman" w:eastAsia="Times New Roman" w:hAnsi="Times New Roman"/>
          <w:sz w:val="16"/>
          <w:szCs w:val="16"/>
          <w:color w:val="auto"/>
        </w:rPr>
        <w:t>incentive values during periods when market volatility</w:t>
      </w:r>
    </w:p>
    <w:p>
      <w:pPr>
        <w:ind w:left="3760"/>
        <w:spacing w:after="0" w:line="211" w:lineRule="auto"/>
        <w:rPr>
          <w:sz w:val="20"/>
          <w:szCs w:val="20"/>
          <w:color w:val="auto"/>
        </w:rPr>
      </w:pPr>
      <w:r>
        <w:rPr>
          <w:rFonts w:ascii="Times New Roman" w:cs="Times New Roman" w:eastAsia="Times New Roman" w:hAnsi="Times New Roman"/>
          <w:sz w:val="16"/>
          <w:szCs w:val="16"/>
          <w:color w:val="auto"/>
        </w:rPr>
        <w:t>impacts our stock price; directly motivates an executive</w:t>
      </w:r>
    </w:p>
    <w:p>
      <w:pPr>
        <w:ind w:left="3760"/>
        <w:spacing w:after="0" w:line="212" w:lineRule="auto"/>
        <w:rPr>
          <w:sz w:val="20"/>
          <w:szCs w:val="20"/>
          <w:color w:val="auto"/>
        </w:rPr>
      </w:pPr>
      <w:r>
        <w:rPr>
          <w:rFonts w:ascii="Times New Roman" w:cs="Times New Roman" w:eastAsia="Times New Roman" w:hAnsi="Times New Roman"/>
          <w:sz w:val="16"/>
          <w:szCs w:val="16"/>
          <w:color w:val="auto"/>
        </w:rPr>
        <w:t>officer to maximize long-term stockholder value and</w:t>
      </w:r>
    </w:p>
    <w:p>
      <w:pPr>
        <w:ind w:left="3760"/>
        <w:spacing w:after="0" w:line="211" w:lineRule="auto"/>
        <w:rPr>
          <w:sz w:val="20"/>
          <w:szCs w:val="20"/>
          <w:color w:val="auto"/>
        </w:rPr>
      </w:pPr>
      <w:r>
        <w:rPr>
          <w:rFonts w:ascii="Times New Roman" w:cs="Times New Roman" w:eastAsia="Times New Roman" w:hAnsi="Times New Roman"/>
          <w:sz w:val="16"/>
          <w:szCs w:val="16"/>
          <w:color w:val="auto"/>
        </w:rPr>
        <w:t>serve as an effective tool for incentivizing and retaining</w:t>
      </w:r>
    </w:p>
    <w:p>
      <w:pPr>
        <w:ind w:left="3760"/>
        <w:spacing w:after="0" w:line="211" w:lineRule="auto"/>
        <w:rPr>
          <w:sz w:val="20"/>
          <w:szCs w:val="20"/>
          <w:color w:val="auto"/>
        </w:rPr>
      </w:pPr>
      <w:r>
        <w:rPr>
          <w:rFonts w:ascii="Times New Roman" w:cs="Times New Roman" w:eastAsia="Times New Roman" w:hAnsi="Times New Roman"/>
          <w:sz w:val="16"/>
          <w:szCs w:val="16"/>
          <w:color w:val="auto"/>
        </w:rPr>
        <w:t>those executive officers who are most responsible for</w:t>
      </w:r>
    </w:p>
    <w:p>
      <w:pPr>
        <w:spacing w:after="0" w:line="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color w:val="auto"/>
        </w:rPr>
        <w:t>influencing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20"/>
        <w:spacing w:after="0" w:line="227" w:lineRule="auto"/>
        <w:rPr>
          <w:sz w:val="20"/>
          <w:szCs w:val="20"/>
          <w:color w:val="auto"/>
        </w:rPr>
      </w:pPr>
      <w:r>
        <w:rPr>
          <w:rFonts w:ascii="Times New Roman" w:cs="Times New Roman" w:eastAsia="Times New Roman" w:hAnsi="Times New Roman"/>
          <w:sz w:val="16"/>
          <w:szCs w:val="16"/>
          <w:color w:val="auto"/>
        </w:rPr>
        <w:t>RSUs generally vest on an annual basis, ratably over four years subject to executive officer’s continued service; the ultimate value realized varies with our common stock price.</w:t>
      </w:r>
    </w:p>
    <w:p>
      <w:pPr>
        <w:spacing w:after="0" w:line="1147" w:lineRule="exact"/>
        <w:rPr>
          <w:sz w:val="20"/>
          <w:szCs w:val="20"/>
          <w:color w:val="auto"/>
        </w:rPr>
      </w:pPr>
    </w:p>
    <w:p>
      <w:pPr>
        <w:sectPr>
          <w:pgSz w:w="11900" w:h="16838" w:orient="portrait"/>
          <w:cols w:equalWidth="0" w:num="2">
            <w:col w:w="7360" w:space="140"/>
            <w:col w:w="3740"/>
          </w:cols>
          <w:pgMar w:left="320" w:top="112" w:right="339" w:bottom="1440" w:gutter="0" w:footer="0" w:header="0"/>
          <w:type w:val="continuous"/>
        </w:sectPr>
      </w:pPr>
    </w:p>
    <w:p>
      <w:pPr>
        <w:ind w:left="20"/>
        <w:spacing w:after="0"/>
        <w:tabs>
          <w:tab w:leader="none" w:pos="3740" w:val="left"/>
        </w:tabs>
        <w:rPr>
          <w:sz w:val="20"/>
          <w:szCs w:val="20"/>
          <w:color w:val="auto"/>
        </w:rPr>
      </w:pPr>
      <w:r>
        <w:rPr>
          <w:rFonts w:ascii="Times New Roman" w:cs="Times New Roman" w:eastAsia="Times New Roman" w:hAnsi="Times New Roman"/>
          <w:sz w:val="16"/>
          <w:szCs w:val="16"/>
          <w:b w:val="1"/>
          <w:bCs w:val="1"/>
          <w:color w:val="BC3F84"/>
        </w:rPr>
        <w:t>Long-Term Equity Incentives</w:t>
      </w:r>
      <w:r>
        <w:rPr>
          <w:sz w:val="20"/>
          <w:szCs w:val="20"/>
          <w:color w:val="auto"/>
        </w:rPr>
        <w:tab/>
      </w:r>
      <w:r>
        <w:rPr>
          <w:rFonts w:ascii="Times New Roman" w:cs="Times New Roman" w:eastAsia="Times New Roman" w:hAnsi="Times New Roman"/>
          <w:sz w:val="16"/>
          <w:szCs w:val="16"/>
          <w:color w:val="auto"/>
        </w:rPr>
        <w:t>Motivates executive officers to achieve our business</w:t>
      </w:r>
    </w:p>
    <w:p>
      <w:pPr>
        <w:ind w:left="20"/>
        <w:spacing w:after="0" w:line="211" w:lineRule="auto"/>
        <w:tabs>
          <w:tab w:leader="none" w:pos="3740" w:val="left"/>
        </w:tabs>
        <w:rPr>
          <w:sz w:val="20"/>
          <w:szCs w:val="20"/>
          <w:color w:val="auto"/>
        </w:rPr>
      </w:pPr>
      <w:r>
        <w:rPr>
          <w:rFonts w:ascii="Times New Roman" w:cs="Times New Roman" w:eastAsia="Times New Roman" w:hAnsi="Times New Roman"/>
          <w:sz w:val="16"/>
          <w:szCs w:val="16"/>
          <w:b w:val="1"/>
          <w:bCs w:val="1"/>
          <w:color w:val="BC3F84"/>
        </w:rPr>
        <w:t>(Stock Options)</w:t>
      </w:r>
      <w:r>
        <w:rPr>
          <w:sz w:val="20"/>
          <w:szCs w:val="20"/>
          <w:color w:val="auto"/>
        </w:rPr>
        <w:tab/>
      </w:r>
      <w:r>
        <w:rPr>
          <w:rFonts w:ascii="Times New Roman" w:cs="Times New Roman" w:eastAsia="Times New Roman" w:hAnsi="Times New Roman"/>
          <w:sz w:val="16"/>
          <w:szCs w:val="16"/>
          <w:color w:val="auto"/>
        </w:rPr>
        <w:t>objectives by tying incentives to the appreciation of our</w:t>
      </w:r>
    </w:p>
    <w:p>
      <w:pPr>
        <w:ind w:left="3760"/>
        <w:spacing w:after="0" w:line="211" w:lineRule="auto"/>
        <w:rPr>
          <w:sz w:val="20"/>
          <w:szCs w:val="20"/>
          <w:color w:val="auto"/>
        </w:rPr>
      </w:pPr>
      <w:r>
        <w:rPr>
          <w:rFonts w:ascii="Times New Roman" w:cs="Times New Roman" w:eastAsia="Times New Roman" w:hAnsi="Times New Roman"/>
          <w:sz w:val="16"/>
          <w:szCs w:val="16"/>
          <w:color w:val="auto"/>
        </w:rPr>
        <w:t>common stock over the long-term and creates an</w:t>
      </w:r>
    </w:p>
    <w:p>
      <w:pPr>
        <w:ind w:left="3760"/>
        <w:spacing w:after="0"/>
        <w:rPr>
          <w:sz w:val="20"/>
          <w:szCs w:val="20"/>
          <w:color w:val="auto"/>
        </w:rPr>
      </w:pPr>
      <w:r>
        <w:rPr>
          <w:rFonts w:ascii="Times New Roman" w:cs="Times New Roman" w:eastAsia="Times New Roman" w:hAnsi="Times New Roman"/>
          <w:sz w:val="16"/>
          <w:szCs w:val="16"/>
          <w:color w:val="auto"/>
        </w:rPr>
        <w:t>ownership culture.</w:t>
      </w:r>
    </w:p>
    <w:p>
      <w:pPr>
        <w:spacing w:after="0" w:line="20" w:lineRule="exact"/>
        <w:rPr>
          <w:sz w:val="20"/>
          <w:szCs w:val="20"/>
          <w:color w:val="auto"/>
        </w:rPr>
      </w:pPr>
      <w:r>
        <w:rPr>
          <w:sz w:val="20"/>
          <w:szCs w:val="20"/>
          <w:color w:val="auto"/>
        </w:rPr>
        <w:br w:type="column"/>
      </w:r>
    </w:p>
    <w:p>
      <w:pPr>
        <w:ind w:right="60"/>
        <w:spacing w:after="0" w:line="217" w:lineRule="auto"/>
        <w:rPr>
          <w:sz w:val="20"/>
          <w:szCs w:val="20"/>
          <w:color w:val="auto"/>
        </w:rPr>
      </w:pPr>
      <w:r>
        <w:rPr>
          <w:rFonts w:ascii="Times New Roman" w:cs="Times New Roman" w:eastAsia="Times New Roman" w:hAnsi="Times New Roman"/>
          <w:sz w:val="16"/>
          <w:szCs w:val="16"/>
          <w:color w:val="auto"/>
        </w:rPr>
        <w:t>Stock options with an exercise price equal to the fair market value on the date of grant generally vest monthly over four years subject to executive officer’s continued service; the ultimate realizable value, if any, depends on the appreciation of our common stock price from the date of grant. The Committee views stock options as performance-based compensation, as stock options provide a return to our executive officers only if the market price of our common shares appreciates over the stock option term.</w:t>
      </w:r>
    </w:p>
    <w:p>
      <w:pPr>
        <w:spacing w:after="0" w:line="5" w:lineRule="exact"/>
        <w:rPr>
          <w:sz w:val="20"/>
          <w:szCs w:val="20"/>
          <w:color w:val="auto"/>
        </w:rPr>
      </w:pPr>
    </w:p>
    <w:p>
      <w:pPr>
        <w:sectPr>
          <w:pgSz w:w="11900" w:h="16838" w:orient="portrait"/>
          <w:cols w:equalWidth="0" w:num="2">
            <w:col w:w="7360" w:space="140"/>
            <w:col w:w="3740"/>
          </w:cols>
          <w:pgMar w:left="320" w:top="112" w:right="33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3220" w:type="dxa"/>
            <w:vAlign w:val="bottom"/>
            <w:tcBorders>
              <w:top w:val="single" w:sz="8" w:color="929292"/>
            </w:tcBorders>
          </w:tcPr>
          <w:p>
            <w:pPr>
              <w:ind w:left="20"/>
              <w:spacing w:after="0" w:line="161" w:lineRule="exact"/>
              <w:rPr>
                <w:sz w:val="20"/>
                <w:szCs w:val="20"/>
                <w:color w:val="auto"/>
              </w:rPr>
            </w:pPr>
            <w:r>
              <w:rPr>
                <w:rFonts w:ascii="Times New Roman" w:cs="Times New Roman" w:eastAsia="Times New Roman" w:hAnsi="Times New Roman"/>
                <w:sz w:val="16"/>
                <w:szCs w:val="16"/>
                <w:b w:val="1"/>
                <w:bCs w:val="1"/>
                <w:color w:val="BC3F84"/>
              </w:rPr>
              <w:t>Long-Term Equity Incentives (PRSUs)</w:t>
            </w:r>
          </w:p>
        </w:tc>
        <w:tc>
          <w:tcPr>
            <w:tcW w:w="4160" w:type="dxa"/>
            <w:vAlign w:val="bottom"/>
            <w:tcBorders>
              <w:top w:val="single" w:sz="8" w:color="929292"/>
            </w:tcBorders>
          </w:tcPr>
          <w:p>
            <w:pPr>
              <w:ind w:left="540"/>
              <w:spacing w:after="0" w:line="161" w:lineRule="exact"/>
              <w:rPr>
                <w:sz w:val="20"/>
                <w:szCs w:val="20"/>
                <w:color w:val="auto"/>
              </w:rPr>
            </w:pPr>
            <w:r>
              <w:rPr>
                <w:rFonts w:ascii="Times New Roman" w:cs="Times New Roman" w:eastAsia="Times New Roman" w:hAnsi="Times New Roman"/>
                <w:sz w:val="16"/>
                <w:szCs w:val="16"/>
                <w:color w:val="auto"/>
              </w:rPr>
              <w:t>Creates a strong link to the Company’s long-term</w:t>
            </w:r>
          </w:p>
        </w:tc>
        <w:tc>
          <w:tcPr>
            <w:tcW w:w="3860" w:type="dxa"/>
            <w:vAlign w:val="bottom"/>
            <w:tcBorders>
              <w:top w:val="single" w:sz="8" w:color="929292"/>
            </w:tcBorders>
          </w:tcPr>
          <w:p>
            <w:pPr>
              <w:ind w:left="120"/>
              <w:spacing w:after="0" w:line="161" w:lineRule="exact"/>
              <w:rPr>
                <w:sz w:val="20"/>
                <w:szCs w:val="20"/>
                <w:color w:val="auto"/>
              </w:rPr>
            </w:pPr>
            <w:r>
              <w:rPr>
                <w:rFonts w:ascii="Times New Roman" w:cs="Times New Roman" w:eastAsia="Times New Roman" w:hAnsi="Times New Roman"/>
                <w:sz w:val="16"/>
                <w:szCs w:val="16"/>
                <w:color w:val="auto"/>
              </w:rPr>
              <w:t>PRSUs only vest upon achievement of objectively</w:t>
            </w:r>
          </w:p>
        </w:tc>
      </w:tr>
      <w:tr>
        <w:trPr>
          <w:trHeight w:val="162"/>
        </w:trPr>
        <w:tc>
          <w:tcPr>
            <w:tcW w:w="3220" w:type="dxa"/>
            <w:vAlign w:val="bottom"/>
          </w:tcPr>
          <w:p>
            <w:pPr>
              <w:spacing w:after="0"/>
              <w:rPr>
                <w:sz w:val="14"/>
                <w:szCs w:val="14"/>
                <w:color w:val="auto"/>
              </w:rPr>
            </w:pPr>
          </w:p>
        </w:tc>
        <w:tc>
          <w:tcPr>
            <w:tcW w:w="4160" w:type="dxa"/>
            <w:vAlign w:val="bottom"/>
          </w:tcPr>
          <w:p>
            <w:pPr>
              <w:ind w:left="540"/>
              <w:spacing w:after="0" w:line="162" w:lineRule="exact"/>
              <w:rPr>
                <w:sz w:val="20"/>
                <w:szCs w:val="20"/>
                <w:color w:val="auto"/>
              </w:rPr>
            </w:pPr>
            <w:r>
              <w:rPr>
                <w:rFonts w:ascii="Times New Roman" w:cs="Times New Roman" w:eastAsia="Times New Roman" w:hAnsi="Times New Roman"/>
                <w:sz w:val="16"/>
                <w:szCs w:val="16"/>
                <w:color w:val="auto"/>
              </w:rPr>
              <w:t>performance, creates an ownership culture and closely</w:t>
            </w:r>
          </w:p>
        </w:tc>
        <w:tc>
          <w:tcPr>
            <w:tcW w:w="38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measurable performance metrics tied to our business</w:t>
            </w:r>
          </w:p>
        </w:tc>
      </w:tr>
      <w:tr>
        <w:trPr>
          <w:trHeight w:val="162"/>
        </w:trPr>
        <w:tc>
          <w:tcPr>
            <w:tcW w:w="3220" w:type="dxa"/>
            <w:vAlign w:val="bottom"/>
          </w:tcPr>
          <w:p>
            <w:pPr>
              <w:spacing w:after="0"/>
              <w:rPr>
                <w:sz w:val="14"/>
                <w:szCs w:val="14"/>
                <w:color w:val="auto"/>
              </w:rPr>
            </w:pPr>
          </w:p>
        </w:tc>
        <w:tc>
          <w:tcPr>
            <w:tcW w:w="8020" w:type="dxa"/>
            <w:vAlign w:val="bottom"/>
            <w:gridSpan w:val="2"/>
          </w:tcPr>
          <w:p>
            <w:pPr>
              <w:ind w:left="540"/>
              <w:spacing w:after="0" w:line="162" w:lineRule="exact"/>
              <w:rPr>
                <w:sz w:val="20"/>
                <w:szCs w:val="20"/>
                <w:color w:val="auto"/>
              </w:rPr>
            </w:pPr>
            <w:r>
              <w:rPr>
                <w:rFonts w:ascii="Times New Roman" w:cs="Times New Roman" w:eastAsia="Times New Roman" w:hAnsi="Times New Roman"/>
                <w:sz w:val="16"/>
                <w:szCs w:val="16"/>
                <w:color w:val="auto"/>
              </w:rPr>
              <w:t>aligns the interests of our executive officers with those of strategy that focus executive officers on achieving these</w:t>
            </w:r>
          </w:p>
        </w:tc>
      </w:tr>
      <w:tr>
        <w:trPr>
          <w:trHeight w:val="162"/>
        </w:trPr>
        <w:tc>
          <w:tcPr>
            <w:tcW w:w="3220" w:type="dxa"/>
            <w:vAlign w:val="bottom"/>
          </w:tcPr>
          <w:p>
            <w:pPr>
              <w:spacing w:after="0"/>
              <w:rPr>
                <w:sz w:val="14"/>
                <w:szCs w:val="14"/>
                <w:color w:val="auto"/>
              </w:rPr>
            </w:pPr>
          </w:p>
        </w:tc>
        <w:tc>
          <w:tcPr>
            <w:tcW w:w="8020" w:type="dxa"/>
            <w:vAlign w:val="bottom"/>
            <w:gridSpan w:val="2"/>
          </w:tcPr>
          <w:p>
            <w:pPr>
              <w:ind w:left="540"/>
              <w:spacing w:after="0" w:line="162" w:lineRule="exact"/>
              <w:rPr>
                <w:sz w:val="20"/>
                <w:szCs w:val="20"/>
                <w:color w:val="auto"/>
              </w:rPr>
            </w:pPr>
            <w:r>
              <w:rPr>
                <w:rFonts w:ascii="Times New Roman" w:cs="Times New Roman" w:eastAsia="Times New Roman" w:hAnsi="Times New Roman"/>
                <w:sz w:val="16"/>
                <w:szCs w:val="16"/>
                <w:color w:val="auto"/>
              </w:rPr>
              <w:t>our stockholders because the value that the grants deliver long-term Company performance metrics and increasing</w:t>
            </w:r>
          </w:p>
        </w:tc>
      </w:tr>
      <w:tr>
        <w:trPr>
          <w:trHeight w:val="162"/>
        </w:trPr>
        <w:tc>
          <w:tcPr>
            <w:tcW w:w="3220" w:type="dxa"/>
            <w:vAlign w:val="bottom"/>
          </w:tcPr>
          <w:p>
            <w:pPr>
              <w:spacing w:after="0"/>
              <w:rPr>
                <w:sz w:val="14"/>
                <w:szCs w:val="14"/>
                <w:color w:val="auto"/>
              </w:rPr>
            </w:pPr>
          </w:p>
        </w:tc>
        <w:tc>
          <w:tcPr>
            <w:tcW w:w="4160" w:type="dxa"/>
            <w:vAlign w:val="bottom"/>
          </w:tcPr>
          <w:p>
            <w:pPr>
              <w:ind w:left="540"/>
              <w:spacing w:after="0" w:line="162" w:lineRule="exact"/>
              <w:rPr>
                <w:sz w:val="20"/>
                <w:szCs w:val="20"/>
                <w:color w:val="auto"/>
              </w:rPr>
            </w:pPr>
            <w:r>
              <w:rPr>
                <w:rFonts w:ascii="Times New Roman" w:cs="Times New Roman" w:eastAsia="Times New Roman" w:hAnsi="Times New Roman"/>
                <w:sz w:val="16"/>
                <w:szCs w:val="16"/>
                <w:color w:val="auto"/>
              </w:rPr>
              <w:t>is directly dependent on attainment of performance</w:t>
            </w:r>
          </w:p>
        </w:tc>
        <w:tc>
          <w:tcPr>
            <w:tcW w:w="38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stockholder value.</w:t>
            </w:r>
          </w:p>
        </w:tc>
      </w:tr>
      <w:tr>
        <w:trPr>
          <w:trHeight w:val="213"/>
        </w:trPr>
        <w:tc>
          <w:tcPr>
            <w:tcW w:w="3220" w:type="dxa"/>
            <w:vAlign w:val="bottom"/>
            <w:tcBorders>
              <w:bottom w:val="single" w:sz="8" w:color="929292"/>
            </w:tcBorders>
          </w:tcPr>
          <w:p>
            <w:pPr>
              <w:spacing w:after="0"/>
              <w:rPr>
                <w:sz w:val="18"/>
                <w:szCs w:val="18"/>
                <w:color w:val="auto"/>
              </w:rPr>
            </w:pPr>
          </w:p>
        </w:tc>
        <w:tc>
          <w:tcPr>
            <w:tcW w:w="4160" w:type="dxa"/>
            <w:vAlign w:val="bottom"/>
            <w:tcBorders>
              <w:bottom w:val="single" w:sz="8" w:color="929292"/>
            </w:tcBorders>
          </w:tcPr>
          <w:p>
            <w:pPr>
              <w:ind w:left="540"/>
              <w:spacing w:after="0"/>
              <w:rPr>
                <w:sz w:val="20"/>
                <w:szCs w:val="20"/>
                <w:color w:val="auto"/>
              </w:rPr>
            </w:pPr>
            <w:r>
              <w:rPr>
                <w:rFonts w:ascii="Times New Roman" w:cs="Times New Roman" w:eastAsia="Times New Roman" w:hAnsi="Times New Roman"/>
                <w:sz w:val="16"/>
                <w:szCs w:val="16"/>
                <w:color w:val="auto"/>
              </w:rPr>
              <w:t>metrics and our stock price.</w:t>
            </w:r>
          </w:p>
        </w:tc>
        <w:tc>
          <w:tcPr>
            <w:tcW w:w="3860" w:type="dxa"/>
            <w:vAlign w:val="bottom"/>
            <w:tcBorders>
              <w:bottom w:val="single" w:sz="8" w:color="929292"/>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52" w:name="page53"/>
    <w:bookmarkEnd w:id="52"/>
    <w:p>
      <w:pPr>
        <w:spacing w:after="0" w:line="185" w:lineRule="auto"/>
        <w:framePr w:w="260" w:h="160" w:wrap="auto" w:vAnchor="page" w:hAnchor="page" w:x="5820" w:y="9754"/>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w:t>
      </w:r>
    </w:p>
    <w:p>
      <w:pPr>
        <w:spacing w:after="0" w:line="209" w:lineRule="auto"/>
        <w:framePr w:w="3800" w:h="1926" w:wrap="auto" w:vAnchor="page" w:hAnchor="page" w:x="7780" w:y="5004"/>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Compensation components for executive officers in the event of a termination by the Company without cause or termination by the executive officer due to constructive termination within six months after the consummation of a change in control include payments for annual base salary, a cash compensation payment, cash compensation for the value of all outstanding stock awards, limited Company-paid health insurance benefits, and any accrued vacation and any accrued benefits under any plans of the Company in which the executive officer is a participant. Eligibility for these benefits requires a signed release agreement by the executive officer.</w:t>
      </w:r>
    </w:p>
    <w:p>
      <w:pPr>
        <w:spacing w:after="0" w:line="232" w:lineRule="auto"/>
        <w:framePr w:w="3760" w:h="1602" w:wrap="auto" w:vAnchor="page" w:hAnchor="page" w:x="7780" w:y="7191"/>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his employment agreement, which was last amended in 2007, our Chief Executive Officer is entitled to tax gross-ups in the event of certain levels of payments he may receive upon a change in control. We have not entered into any new change in control gross-ups for executive officers since 2007, nor does the Company intend to enter into any new agreements containing such gross-ups. Accordingly, Dr. Gorman is the only NEO entitled to such tax gross-ups.</w:t>
      </w:r>
    </w:p>
    <w:p>
      <w:pPr>
        <w:spacing w:after="0" w:line="188" w:lineRule="auto"/>
        <w:framePr w:w="2420" w:h="144" w:wrap="auto" w:vAnchor="page" w:hAnchor="page" w:x="7780" w:y="4586"/>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Termination or Change-in-Control.”</w:t>
      </w:r>
    </w:p>
    <w:p>
      <w:pPr>
        <w:spacing w:after="0" w:line="188" w:lineRule="auto"/>
        <w:framePr w:w="3320" w:h="144" w:wrap="auto" w:vAnchor="page" w:hAnchor="page" w:x="7780" w:y="441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described below under “Potential Payments Upon</w:t>
      </w:r>
    </w:p>
    <w:p>
      <w:pPr>
        <w:spacing w:after="0" w:line="188" w:lineRule="auto"/>
        <w:framePr w:w="7140" w:h="144" w:wrap="auto" w:vAnchor="page" w:hAnchor="page" w:x="4040" w:y="3857"/>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Serves our retention objectives by helping our executive  Provides protection in the event of a termination of</w:t>
      </w:r>
    </w:p>
    <w:p>
      <w:pPr>
        <w:spacing w:after="0" w:line="180" w:lineRule="auto"/>
        <w:framePr w:w="7320" w:h="347" w:wrap="auto" w:vAnchor="page" w:hAnchor="page" w:x="4040" w:y="4019"/>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officers maintain continued focus and dedication to their employment under specified circumstances, including responsibilities to maximize stockholder value, including </w:t>
      </w:r>
      <w:r>
        <w:rPr>
          <w:rFonts w:ascii="Times New Roman" w:cs="Times New Roman" w:eastAsia="Times New Roman" w:hAnsi="Times New Roman"/>
          <w:sz w:val="26"/>
          <w:szCs w:val="26"/>
          <w:color w:val="auto"/>
          <w:vertAlign w:val="subscript"/>
        </w:rPr>
        <w:t>following a change in control of the Company as</w:t>
      </w:r>
    </w:p>
    <w:p>
      <w:pPr>
        <w:spacing w:after="0" w:line="199" w:lineRule="auto"/>
        <w:framePr w:w="3720" w:h="306" w:wrap="auto" w:vAnchor="page" w:hAnchor="page" w:x="4040" w:y="4343"/>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 transaction that could result in a change in control of the Company.</w:t>
      </w:r>
    </w:p>
    <w:p>
      <w:pPr>
        <w:spacing w:after="0" w:line="208" w:lineRule="auto"/>
        <w:framePr w:w="3760" w:h="1278" w:wrap="auto" w:vAnchor="page" w:hAnchor="page" w:x="7780" w:y="1197"/>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officers are eligible to participate in the Company’s employee benefit plans on the same terms as all other full-time employees. These plans include medical, dental and life insurance and eligibility to participate in the Company’s employee stock purchase plan. Additional benefits include disability insurance premiums, an annual physical examination and financial planning services.</w:t>
      </w:r>
    </w:p>
    <w:p>
      <w:pPr>
        <w:spacing w:after="0" w:line="208" w:lineRule="auto"/>
        <w:framePr w:w="3760" w:h="1116" w:wrap="auto" w:vAnchor="page" w:hAnchor="page" w:x="7780" w:y="2655"/>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of the Company’s 401(k) Savings Plan (the “401(k) Plan”) provide for executive officer and broad-based employee participation on the same general terms. Under the 401(k) Plan, all Company employees are eligible to receive basic matching contributions from the Company that vest annually over three years from date of hire.</w:t>
      </w:r>
    </w:p>
    <w:p>
      <w:pPr>
        <w:spacing w:after="0" w:line="208" w:lineRule="auto"/>
        <w:framePr w:w="3680" w:h="1116" w:wrap="auto" w:vAnchor="page" w:hAnchor="page" w:x="4040" w:y="1197"/>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Provides benefits that promote employee health and welfare, which assists in attracting and retaining our executive officers; certain additional benefits reflect market standards and are reasonable and necessary to attract and/or retain each of our executive officers and allow the executive officers to realize the full benefit of the other elements of compensation we provide.</w:t>
      </w:r>
    </w:p>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5080</wp:posOffset>
            </wp:positionH>
            <wp:positionV relativeFrom="paragraph">
              <wp:posOffset>552450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61" w:lineRule="exact"/>
        <w:rPr>
          <w:rFonts w:ascii="Times New Roman" w:cs="Times New Roman" w:eastAsia="Times New Roman" w:hAnsi="Times New Roman"/>
          <w:sz w:val="16"/>
          <w:szCs w:val="16"/>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0BBAB4"/>
        </w:rPr>
        <w:t>Other Compensation</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1564640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56" w:lineRule="exact"/>
        <w:rPr>
          <w:rFonts w:ascii="Times New Roman" w:cs="Times New Roman" w:eastAsia="Times New Roman" w:hAnsi="Times New Roman"/>
          <w:sz w:val="16"/>
          <w:szCs w:val="16"/>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40AEAA"/>
        </w:rPr>
        <w:t>Severance and Change in Control Benefits</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-6985</wp:posOffset>
            </wp:positionH>
            <wp:positionV relativeFrom="paragraph">
              <wp:posOffset>3815080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12"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Named Executive Officer Compensation Decisions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Base Salaries</w:t>
      </w:r>
    </w:p>
    <w:p>
      <w:pPr>
        <w:spacing w:after="0" w:line="202" w:lineRule="exact"/>
        <w:rPr>
          <w:sz w:val="20"/>
          <w:szCs w:val="20"/>
          <w:color w:val="auto"/>
        </w:rPr>
      </w:pPr>
    </w:p>
    <w:p>
      <w:pPr>
        <w:ind w:right="80" w:firstLine="551"/>
        <w:spacing w:after="0" w:line="229" w:lineRule="auto"/>
        <w:rPr>
          <w:sz w:val="20"/>
          <w:szCs w:val="20"/>
          <w:color w:val="auto"/>
        </w:rPr>
      </w:pPr>
      <w:r>
        <w:rPr>
          <w:rFonts w:ascii="Times New Roman" w:cs="Times New Roman" w:eastAsia="Times New Roman" w:hAnsi="Times New Roman"/>
          <w:sz w:val="17"/>
          <w:szCs w:val="17"/>
          <w:color w:val="auto"/>
        </w:rPr>
        <w:t>In February 2023, our Committee approved the 2023 base salaries for the NEOs as set forth in the table below. In making these 2023 decisions, the Committee considered the Company’s performance in 2022, market data for each individual NEO’s position, as well as the individual’s historical salary levels, our then-current budget for employee salary adjustments, anticipated role and responsibilities for the coming year, along with the other factors</w:t>
      </w:r>
    </w:p>
    <w:p>
      <w:pPr>
        <w:ind w:right="100"/>
        <w:spacing w:after="0" w:line="218" w:lineRule="auto"/>
        <w:rPr>
          <w:sz w:val="20"/>
          <w:szCs w:val="20"/>
          <w:color w:val="auto"/>
        </w:rPr>
      </w:pPr>
      <w:r>
        <w:rPr>
          <w:rFonts w:ascii="Times New Roman" w:cs="Times New Roman" w:eastAsia="Times New Roman" w:hAnsi="Times New Roman"/>
          <w:sz w:val="18"/>
          <w:szCs w:val="18"/>
          <w:color w:val="auto"/>
        </w:rPr>
        <w:t>described under “Overall Compensation Determination Process” set forth above. Specifically, the Committee determined that the increases reflected in the table below were appropriate due to (i) the Company’s performance in 2022, (ii) maintaining competitive positioning relative to the market data, (iii) retention of our NEOs and (iv) our NEOs’ experience, job criticality and performance.</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37"/>
        </w:trPr>
        <w:tc>
          <w:tcPr>
            <w:tcW w:w="7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0"/>
        </w:trPr>
        <w:tc>
          <w:tcPr>
            <w:tcW w:w="8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560" w:type="dxa"/>
            <w:vAlign w:val="bottom"/>
          </w:tcPr>
          <w:p>
            <w:pPr>
              <w:jc w:val="right"/>
              <w:ind w:right="562"/>
              <w:spacing w:after="0" w:line="160"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3"/>
                <w:szCs w:val="13"/>
                <w:color w:val="auto"/>
              </w:rPr>
            </w:pPr>
          </w:p>
        </w:tc>
        <w:tc>
          <w:tcPr>
            <w:tcW w:w="15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from 2022 Base</w:t>
            </w:r>
          </w:p>
        </w:tc>
        <w:tc>
          <w:tcPr>
            <w:tcW w:w="0" w:type="dxa"/>
            <w:vAlign w:val="bottom"/>
          </w:tcPr>
          <w:p>
            <w:pPr>
              <w:spacing w:after="0"/>
              <w:rPr>
                <w:sz w:val="1"/>
                <w:szCs w:val="1"/>
                <w:color w:val="auto"/>
              </w:rPr>
            </w:pPr>
          </w:p>
        </w:tc>
      </w:tr>
      <w:tr>
        <w:trPr>
          <w:trHeight w:val="196"/>
        </w:trPr>
        <w:tc>
          <w:tcPr>
            <w:tcW w:w="8000" w:type="dxa"/>
            <w:vAlign w:val="bottom"/>
            <w:gridSpan w:val="2"/>
            <w:vMerge w:val="continue"/>
          </w:tcPr>
          <w:p>
            <w:pPr>
              <w:spacing w:after="0"/>
              <w:rPr>
                <w:sz w:val="17"/>
                <w:szCs w:val="17"/>
                <w:color w:val="auto"/>
              </w:rPr>
            </w:pPr>
          </w:p>
        </w:tc>
        <w:tc>
          <w:tcPr>
            <w:tcW w:w="16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0" w:type="dxa"/>
            <w:vAlign w:val="bottom"/>
          </w:tcPr>
          <w:p>
            <w:pPr>
              <w:spacing w:after="0"/>
              <w:rPr>
                <w:sz w:val="1"/>
                <w:szCs w:val="1"/>
                <w:color w:val="auto"/>
              </w:rPr>
            </w:pPr>
          </w:p>
        </w:tc>
      </w:tr>
      <w:tr>
        <w:trPr>
          <w:trHeight w:val="216"/>
        </w:trPr>
        <w:tc>
          <w:tcPr>
            <w:tcW w:w="79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Kevin C. Gorman, Ph.D., Chief Executive Officer</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$946,000</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3"/>
        </w:trPr>
        <w:tc>
          <w:tcPr>
            <w:tcW w:w="80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Matthew C. Abernethy, Chief Financial Officer</w:t>
            </w:r>
          </w:p>
        </w:tc>
        <w:tc>
          <w:tcPr>
            <w:tcW w:w="1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$646,061</w:t>
            </w:r>
          </w:p>
        </w:tc>
        <w:tc>
          <w:tcPr>
            <w:tcW w:w="80" w:type="dxa"/>
            <w:vAlign w:val="bottom"/>
          </w:tcPr>
          <w:p>
            <w:pPr>
              <w:spacing w:after="0"/>
              <w:rPr>
                <w:sz w:val="18"/>
                <w:szCs w:val="18"/>
                <w:color w:val="auto"/>
              </w:rPr>
            </w:pPr>
          </w:p>
        </w:tc>
        <w:tc>
          <w:tcPr>
            <w:tcW w:w="15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9"/>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Kyle W. Gano, Ph.D., Chief Business Development &amp; Strategy Officer</w:t>
            </w:r>
          </w:p>
        </w:tc>
        <w:tc>
          <w:tcPr>
            <w:tcW w:w="15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$602,912</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3"/>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Jude Onyia, Ph.D., Chief Scientific Officer</w:t>
            </w:r>
          </w:p>
        </w:tc>
        <w:tc>
          <w:tcPr>
            <w:tcW w:w="1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$638,250</w:t>
            </w:r>
          </w:p>
        </w:tc>
        <w:tc>
          <w:tcPr>
            <w:tcW w:w="80" w:type="dxa"/>
            <w:vAlign w:val="bottom"/>
          </w:tcPr>
          <w:p>
            <w:pPr>
              <w:spacing w:after="0"/>
              <w:rPr>
                <w:sz w:val="18"/>
                <w:szCs w:val="18"/>
                <w:color w:val="auto"/>
              </w:rPr>
            </w:pPr>
          </w:p>
        </w:tc>
        <w:tc>
          <w:tcPr>
            <w:tcW w:w="15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9"/>
        </w:trPr>
        <w:tc>
          <w:tcPr>
            <w:tcW w:w="8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Eiry W. Roberts, M.D., Chief Medical Officer</w:t>
            </w:r>
          </w:p>
        </w:tc>
        <w:tc>
          <w:tcPr>
            <w:tcW w:w="15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$660,348</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Annual Cash Incentives</w:t>
      </w:r>
    </w:p>
    <w:p>
      <w:pPr>
        <w:spacing w:after="0" w:line="148" w:lineRule="exact"/>
        <w:rPr>
          <w:sz w:val="20"/>
          <w:szCs w:val="20"/>
          <w:color w:val="auto"/>
        </w:rPr>
      </w:pPr>
    </w:p>
    <w:p>
      <w:pPr>
        <w:jc w:val="both"/>
        <w:ind w:right="100" w:firstLine="551"/>
        <w:spacing w:after="0" w:line="237" w:lineRule="auto"/>
        <w:rPr>
          <w:sz w:val="20"/>
          <w:szCs w:val="20"/>
          <w:color w:val="auto"/>
        </w:rPr>
      </w:pPr>
      <w:r>
        <w:rPr>
          <w:rFonts w:ascii="Times New Roman" w:cs="Times New Roman" w:eastAsia="Times New Roman" w:hAnsi="Times New Roman"/>
          <w:sz w:val="18"/>
          <w:szCs w:val="18"/>
          <w:color w:val="auto"/>
        </w:rPr>
        <w:t>In February 2023, the Committee approved the 2023 target bonus opportunities as a percentage of base salary for the NEOs as set forth in the table below. After considering market data for each NEO’s position, no changes were made to the target bonus opportunities of our NEOs.</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46"/>
        </w:trPr>
        <w:tc>
          <w:tcPr>
            <w:tcW w:w="9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Executive Officer</w:t>
            </w: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Target Bonus</w:t>
            </w:r>
          </w:p>
        </w:tc>
        <w:tc>
          <w:tcPr>
            <w:tcW w:w="0" w:type="dxa"/>
            <w:vAlign w:val="bottom"/>
          </w:tcPr>
          <w:p>
            <w:pPr>
              <w:spacing w:after="0"/>
              <w:rPr>
                <w:sz w:val="1"/>
                <w:szCs w:val="1"/>
                <w:color w:val="auto"/>
              </w:rPr>
            </w:pPr>
          </w:p>
        </w:tc>
      </w:tr>
      <w:tr>
        <w:trPr>
          <w:trHeight w:val="196"/>
        </w:trPr>
        <w:tc>
          <w:tcPr>
            <w:tcW w:w="9640" w:type="dxa"/>
            <w:vAlign w:val="bottom"/>
            <w:gridSpan w:val="2"/>
            <w:vMerge w:val="continue"/>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0" w:type="dxa"/>
            <w:vAlign w:val="bottom"/>
          </w:tcPr>
          <w:p>
            <w:pPr>
              <w:spacing w:after="0"/>
              <w:rPr>
                <w:sz w:val="1"/>
                <w:szCs w:val="1"/>
                <w:color w:val="auto"/>
              </w:rPr>
            </w:pPr>
          </w:p>
        </w:tc>
      </w:tr>
      <w:tr>
        <w:trPr>
          <w:trHeight w:val="216"/>
        </w:trPr>
        <w:tc>
          <w:tcPr>
            <w:tcW w:w="95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Chief Executive Officer</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0"/>
        </w:trPr>
        <w:tc>
          <w:tcPr>
            <w:tcW w:w="96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All Other Executive Officers</w:t>
            </w:r>
          </w:p>
        </w:tc>
        <w:tc>
          <w:tcPr>
            <w:tcW w:w="156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right="80" w:firstLine="551"/>
        <w:spacing w:after="0" w:line="229" w:lineRule="auto"/>
        <w:rPr>
          <w:sz w:val="20"/>
          <w:szCs w:val="20"/>
          <w:color w:val="auto"/>
        </w:rPr>
      </w:pPr>
      <w:r>
        <w:rPr>
          <w:rFonts w:ascii="Times New Roman" w:cs="Times New Roman" w:eastAsia="Times New Roman" w:hAnsi="Times New Roman"/>
          <w:sz w:val="17"/>
          <w:szCs w:val="17"/>
          <w:color w:val="auto"/>
        </w:rPr>
        <w:t>In March 2023, the Committee approved the corporate goals for our 2023 annual cash incentive plan. The most significant and impactful goals and achievements are summarized in the table below. Our corporate goals are directly aligned with our specific strategic goals that we believe will create long-term stockholder value, including achieving a net revenue target from sales of INGREZZA, ensuring commercial readiness for the launch of INGREZZA</w:t>
      </w: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for the treatment of chorea associated with Huntington's disease, scaling pre-launch commercial infrastructure for crinecerfont to treat CAH, advancing and expanding our clinical pipeline, and achieving certain other corporate and financial goals. The Committee did not assign specific relative weightings to the corporate goals for 2023 in order to enable a holistic assessment of complementary goals that collectively reflect achievement of our 2023 performance</w:t>
      </w:r>
    </w:p>
    <w:p>
      <w:pPr>
        <w:spacing w:after="0" w:line="2" w:lineRule="exact"/>
        <w:rPr>
          <w:sz w:val="20"/>
          <w:szCs w:val="20"/>
          <w:color w:val="auto"/>
        </w:rPr>
      </w:pPr>
    </w:p>
    <w:p>
      <w:pPr>
        <w:ind w:right="860"/>
        <w:spacing w:after="0" w:line="226" w:lineRule="auto"/>
        <w:rPr>
          <w:sz w:val="20"/>
          <w:szCs w:val="20"/>
          <w:color w:val="auto"/>
        </w:rPr>
      </w:pPr>
      <w:r>
        <w:rPr>
          <w:rFonts w:ascii="Times New Roman" w:cs="Times New Roman" w:eastAsia="Times New Roman" w:hAnsi="Times New Roman"/>
          <w:sz w:val="18"/>
          <w:szCs w:val="18"/>
          <w:color w:val="auto"/>
        </w:rPr>
        <w:t>objectives and build the foundation for long-term success. The maximum bonus payout for each NEO was capped at 150% of their target bonus opportunity.</w:t>
      </w:r>
    </w:p>
    <w:p>
      <w:pPr>
        <w:spacing w:after="0" w:line="1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meetings conducted throughout the year and culminating in February 2024, the Committee engaged in a robust dialogue with management,</w:t>
      </w:r>
    </w:p>
    <w:p>
      <w:pPr>
        <w:spacing w:after="0" w:line="2" w:lineRule="exact"/>
        <w:rPr>
          <w:sz w:val="20"/>
          <w:szCs w:val="20"/>
          <w:color w:val="auto"/>
        </w:rPr>
      </w:pPr>
    </w:p>
    <w:p>
      <w:pPr>
        <w:ind w:right="200"/>
        <w:spacing w:after="0" w:line="208" w:lineRule="auto"/>
        <w:rPr>
          <w:sz w:val="20"/>
          <w:szCs w:val="20"/>
          <w:color w:val="auto"/>
        </w:rPr>
      </w:pPr>
      <w:r>
        <w:rPr>
          <w:rFonts w:ascii="Times New Roman" w:cs="Times New Roman" w:eastAsia="Times New Roman" w:hAnsi="Times New Roman"/>
          <w:sz w:val="18"/>
          <w:szCs w:val="18"/>
          <w:color w:val="auto"/>
        </w:rPr>
        <w:t>the Board Chair and other Board members (including at Board meetings), and its independent compensation consultant to evaluate the accomplishments and performance of the Company relative to the 2023 corporate goals. The Committee discussed the relative importance of each of these goals and ultimately determined that the following goals were the most impactful to the creation of long-term stockholder value: (i) the INGREZZA net sales goal;</w:t>
      </w:r>
    </w:p>
    <w:p>
      <w:pPr>
        <w:spacing w:after="0" w:line="2" w:lineRule="exact"/>
        <w:rPr>
          <w:sz w:val="20"/>
          <w:szCs w:val="20"/>
          <w:color w:val="auto"/>
        </w:rPr>
      </w:pPr>
    </w:p>
    <w:p>
      <w:pPr>
        <w:ind w:right="60" w:firstLine="8"/>
        <w:spacing w:after="0" w:line="213" w:lineRule="auto"/>
        <w:tabs>
          <w:tab w:leader="none" w:pos="2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advancement of our clinical pipeline, including positive top-line results in two phase 3 studies of crinecerfont in adults and pediatrics for the treatment of CAH; and (iii) a positive resolution of all patent litigation brought by us against the companies that filed ANDAs seeking approval to market generic versions of INGREZZA. The Committee further determined that the Company achieved the high-end of the range for INGREZZA net sales goal, over achieved the most critical goals associated with the advancement of the Company's clinical pipeline, overachieved with respect to the resolution of all patent litigation brought by us against the companies seeking approval to market generic versions of INGREZZA, and partially achieved other important goals. After these discussions, the Committee determined our 2023 corporate goal achievement at 110%.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4" w:name="page55"/>
    <w:bookmarkEnd w:id="54"/>
    <w:p>
      <w:pPr>
        <w:ind w:left="100"/>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10" w:type="dxa"/>
        <w:tblCellMar>
          <w:top w:w="0" w:type="dxa"/>
          <w:left w:w="0" w:type="dxa"/>
          <w:bottom w:w="0" w:type="dxa"/>
          <w:right w:w="0" w:type="dxa"/>
        </w:tblCellMar>
      </w:tblPr>
      <w:tr>
        <w:trPr>
          <w:trHeight w:val="184"/>
        </w:trPr>
        <w:tc>
          <w:tcPr>
            <w:tcW w:w="1900" w:type="dxa"/>
            <w:vAlign w:val="bottom"/>
            <w:tcBorders>
              <w:left w:val="single" w:sz="8" w:color="274E3F"/>
              <w:right w:val="single" w:sz="8" w:color="40AEAA"/>
            </w:tcBorders>
            <w:vMerge w:val="restart"/>
            <w:shd w:val="clear" w:color="auto" w:fill="274E3F"/>
          </w:tcPr>
          <w:p>
            <w:pPr>
              <w:jc w:val="center"/>
              <w:spacing w:after="0"/>
              <w:rPr>
                <w:sz w:val="20"/>
                <w:szCs w:val="20"/>
                <w:color w:val="auto"/>
              </w:rPr>
            </w:pPr>
            <w:r>
              <w:rPr>
                <w:rFonts w:ascii="Times New Roman" w:cs="Times New Roman" w:eastAsia="Times New Roman" w:hAnsi="Times New Roman"/>
                <w:sz w:val="16"/>
                <w:szCs w:val="16"/>
                <w:b w:val="1"/>
                <w:bCs w:val="1"/>
                <w:color w:val="FFFFFF"/>
              </w:rPr>
              <w:t>Business Area / Initiative</w:t>
            </w:r>
          </w:p>
        </w:tc>
        <w:tc>
          <w:tcPr>
            <w:tcW w:w="4100" w:type="dxa"/>
            <w:vAlign w:val="bottom"/>
            <w:tcBorders>
              <w:right w:val="single" w:sz="8" w:color="276F99"/>
            </w:tcBorders>
            <w:vMerge w:val="restart"/>
            <w:shd w:val="clear" w:color="auto" w:fill="40AEAA"/>
          </w:tcPr>
          <w:p>
            <w:pPr>
              <w:ind w:left="1800"/>
              <w:spacing w:after="0"/>
              <w:rPr>
                <w:sz w:val="20"/>
                <w:szCs w:val="20"/>
                <w:color w:val="auto"/>
              </w:rPr>
            </w:pPr>
            <w:r>
              <w:rPr>
                <w:rFonts w:ascii="Times New Roman" w:cs="Times New Roman" w:eastAsia="Times New Roman" w:hAnsi="Times New Roman"/>
                <w:sz w:val="16"/>
                <w:szCs w:val="16"/>
                <w:b w:val="1"/>
                <w:bCs w:val="1"/>
                <w:color w:val="FFFFFF"/>
              </w:rPr>
              <w:t>Target</w:t>
            </w:r>
          </w:p>
        </w:tc>
        <w:tc>
          <w:tcPr>
            <w:tcW w:w="3960" w:type="dxa"/>
            <w:vAlign w:val="bottom"/>
            <w:tcBorders>
              <w:right w:val="single" w:sz="8" w:color="276F99"/>
            </w:tcBorders>
            <w:vMerge w:val="restart"/>
            <w:shd w:val="clear" w:color="auto" w:fill="276F99"/>
          </w:tcPr>
          <w:p>
            <w:pPr>
              <w:ind w:left="600"/>
              <w:spacing w:after="0"/>
              <w:rPr>
                <w:sz w:val="20"/>
                <w:szCs w:val="20"/>
                <w:color w:val="auto"/>
              </w:rPr>
            </w:pPr>
            <w:r>
              <w:rPr>
                <w:rFonts w:ascii="Times New Roman" w:cs="Times New Roman" w:eastAsia="Times New Roman" w:hAnsi="Times New Roman"/>
                <w:sz w:val="16"/>
                <w:szCs w:val="16"/>
                <w:b w:val="1"/>
                <w:bCs w:val="1"/>
                <w:color w:val="FFFFFF"/>
              </w:rPr>
              <w:t>Achievements / Relevant Developments</w:t>
            </w:r>
          </w:p>
        </w:tc>
        <w:tc>
          <w:tcPr>
            <w:tcW w:w="1300" w:type="dxa"/>
            <w:vAlign w:val="bottom"/>
            <w:tcBorders>
              <w:right w:val="single" w:sz="8" w:color="CF3B91"/>
            </w:tcBorders>
            <w:shd w:val="clear" w:color="auto" w:fill="CF3B91"/>
          </w:tcPr>
          <w:p>
            <w:pPr>
              <w:jc w:val="center"/>
              <w:spacing w:after="0"/>
              <w:rPr>
                <w:sz w:val="20"/>
                <w:szCs w:val="20"/>
                <w:color w:val="auto"/>
              </w:rPr>
            </w:pPr>
            <w:r>
              <w:rPr>
                <w:rFonts w:ascii="Times New Roman" w:cs="Times New Roman" w:eastAsia="Times New Roman" w:hAnsi="Times New Roman"/>
                <w:sz w:val="16"/>
                <w:szCs w:val="16"/>
                <w:b w:val="1"/>
                <w:bCs w:val="1"/>
                <w:color w:val="FFFFFF"/>
              </w:rPr>
              <w:t>Overall</w:t>
            </w:r>
          </w:p>
        </w:tc>
        <w:tc>
          <w:tcPr>
            <w:tcW w:w="0" w:type="dxa"/>
            <w:vAlign w:val="bottom"/>
          </w:tcPr>
          <w:p>
            <w:pPr>
              <w:spacing w:after="0"/>
              <w:rPr>
                <w:sz w:val="1"/>
                <w:szCs w:val="1"/>
                <w:color w:val="auto"/>
              </w:rPr>
            </w:pPr>
          </w:p>
        </w:tc>
      </w:tr>
      <w:tr>
        <w:trPr>
          <w:trHeight w:val="129"/>
        </w:trPr>
        <w:tc>
          <w:tcPr>
            <w:tcW w:w="1900" w:type="dxa"/>
            <w:vAlign w:val="bottom"/>
            <w:tcBorders>
              <w:left w:val="single" w:sz="8" w:color="274E3F"/>
              <w:right w:val="single" w:sz="8" w:color="40AEAA"/>
            </w:tcBorders>
            <w:vMerge w:val="continue"/>
            <w:shd w:val="clear" w:color="auto" w:fill="274E3F"/>
          </w:tcPr>
          <w:p>
            <w:pPr>
              <w:spacing w:after="0"/>
              <w:rPr>
                <w:sz w:val="11"/>
                <w:szCs w:val="11"/>
                <w:color w:val="auto"/>
              </w:rPr>
            </w:pPr>
          </w:p>
        </w:tc>
        <w:tc>
          <w:tcPr>
            <w:tcW w:w="4100" w:type="dxa"/>
            <w:vAlign w:val="bottom"/>
            <w:tcBorders>
              <w:right w:val="single" w:sz="8" w:color="276F99"/>
            </w:tcBorders>
            <w:vMerge w:val="continue"/>
            <w:shd w:val="clear" w:color="auto" w:fill="40AEAA"/>
          </w:tcPr>
          <w:p>
            <w:pPr>
              <w:spacing w:after="0"/>
              <w:rPr>
                <w:sz w:val="11"/>
                <w:szCs w:val="11"/>
                <w:color w:val="auto"/>
              </w:rPr>
            </w:pPr>
          </w:p>
        </w:tc>
        <w:tc>
          <w:tcPr>
            <w:tcW w:w="3960" w:type="dxa"/>
            <w:vAlign w:val="bottom"/>
            <w:tcBorders>
              <w:right w:val="single" w:sz="8" w:color="276F99"/>
            </w:tcBorders>
            <w:vMerge w:val="continue"/>
            <w:shd w:val="clear" w:color="auto" w:fill="276F99"/>
          </w:tcPr>
          <w:p>
            <w:pPr>
              <w:spacing w:after="0"/>
              <w:rPr>
                <w:sz w:val="11"/>
                <w:szCs w:val="11"/>
                <w:color w:val="auto"/>
              </w:rPr>
            </w:pPr>
          </w:p>
        </w:tc>
        <w:tc>
          <w:tcPr>
            <w:tcW w:w="1300" w:type="dxa"/>
            <w:vAlign w:val="bottom"/>
            <w:tcBorders>
              <w:right w:val="single" w:sz="8" w:color="CF3B91"/>
            </w:tcBorders>
            <w:vMerge w:val="restart"/>
            <w:shd w:val="clear" w:color="auto" w:fill="CF3B91"/>
          </w:tcPr>
          <w:p>
            <w:pPr>
              <w:jc w:val="center"/>
              <w:spacing w:after="0"/>
              <w:rPr>
                <w:sz w:val="20"/>
                <w:szCs w:val="20"/>
                <w:color w:val="auto"/>
              </w:rPr>
            </w:pPr>
            <w:r>
              <w:rPr>
                <w:rFonts w:ascii="Times New Roman" w:cs="Times New Roman" w:eastAsia="Times New Roman" w:hAnsi="Times New Roman"/>
                <w:sz w:val="16"/>
                <w:szCs w:val="16"/>
                <w:b w:val="1"/>
                <w:bCs w:val="1"/>
                <w:color w:val="FFFFFF"/>
              </w:rPr>
              <w:t>Achievement</w:t>
            </w:r>
          </w:p>
        </w:tc>
        <w:tc>
          <w:tcPr>
            <w:tcW w:w="0" w:type="dxa"/>
            <w:vAlign w:val="bottom"/>
          </w:tcPr>
          <w:p>
            <w:pPr>
              <w:spacing w:after="0"/>
              <w:rPr>
                <w:sz w:val="1"/>
                <w:szCs w:val="1"/>
                <w:color w:val="auto"/>
              </w:rPr>
            </w:pPr>
          </w:p>
        </w:tc>
      </w:tr>
      <w:tr>
        <w:trPr>
          <w:trHeight w:val="87"/>
        </w:trPr>
        <w:tc>
          <w:tcPr>
            <w:tcW w:w="1900" w:type="dxa"/>
            <w:vAlign w:val="bottom"/>
            <w:tcBorders>
              <w:left w:val="single" w:sz="8" w:color="274E3F"/>
              <w:right w:val="single" w:sz="8" w:color="40AEAA"/>
            </w:tcBorders>
            <w:shd w:val="clear" w:color="auto" w:fill="274E3F"/>
          </w:tcPr>
          <w:p>
            <w:pPr>
              <w:spacing w:after="0"/>
              <w:rPr>
                <w:sz w:val="7"/>
                <w:szCs w:val="7"/>
                <w:color w:val="auto"/>
              </w:rPr>
            </w:pPr>
          </w:p>
        </w:tc>
        <w:tc>
          <w:tcPr>
            <w:tcW w:w="4100" w:type="dxa"/>
            <w:vAlign w:val="bottom"/>
            <w:tcBorders>
              <w:right w:val="single" w:sz="8" w:color="276F99"/>
            </w:tcBorders>
            <w:shd w:val="clear" w:color="auto" w:fill="40AEAA"/>
          </w:tcPr>
          <w:p>
            <w:pPr>
              <w:spacing w:after="0"/>
              <w:rPr>
                <w:sz w:val="7"/>
                <w:szCs w:val="7"/>
                <w:color w:val="auto"/>
              </w:rPr>
            </w:pPr>
          </w:p>
        </w:tc>
        <w:tc>
          <w:tcPr>
            <w:tcW w:w="3960" w:type="dxa"/>
            <w:vAlign w:val="bottom"/>
            <w:tcBorders>
              <w:right w:val="single" w:sz="8" w:color="276F99"/>
            </w:tcBorders>
            <w:shd w:val="clear" w:color="auto" w:fill="276F99"/>
          </w:tcPr>
          <w:p>
            <w:pPr>
              <w:spacing w:after="0"/>
              <w:rPr>
                <w:sz w:val="7"/>
                <w:szCs w:val="7"/>
                <w:color w:val="auto"/>
              </w:rPr>
            </w:pPr>
          </w:p>
        </w:tc>
        <w:tc>
          <w:tcPr>
            <w:tcW w:w="1300" w:type="dxa"/>
            <w:vAlign w:val="bottom"/>
            <w:tcBorders>
              <w:right w:val="single" w:sz="8" w:color="CF3B91"/>
            </w:tcBorders>
            <w:vMerge w:val="continue"/>
            <w:shd w:val="clear" w:color="auto" w:fill="CF3B91"/>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900" w:type="dxa"/>
            <w:vAlign w:val="bottom"/>
            <w:tcBorders>
              <w:bottom w:val="single" w:sz="8" w:color="auto"/>
            </w:tcBorders>
          </w:tcPr>
          <w:p>
            <w:pPr>
              <w:spacing w:after="0"/>
              <w:rPr>
                <w:sz w:val="4"/>
                <w:szCs w:val="4"/>
                <w:color w:val="auto"/>
              </w:rPr>
            </w:pPr>
          </w:p>
        </w:tc>
        <w:tc>
          <w:tcPr>
            <w:tcW w:w="4100" w:type="dxa"/>
            <w:vAlign w:val="bottom"/>
            <w:tcBorders>
              <w:bottom w:val="single" w:sz="8" w:color="auto"/>
            </w:tcBorders>
          </w:tcPr>
          <w:p>
            <w:pPr>
              <w:spacing w:after="0"/>
              <w:rPr>
                <w:sz w:val="4"/>
                <w:szCs w:val="4"/>
                <w:color w:val="auto"/>
              </w:rPr>
            </w:pPr>
          </w:p>
        </w:tc>
        <w:tc>
          <w:tcPr>
            <w:tcW w:w="39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900" w:type="dxa"/>
            <w:vAlign w:val="bottom"/>
            <w:tcBorders>
              <w:left w:val="single" w:sz="8" w:color="auto"/>
              <w:right w:val="single" w:sz="8" w:color="auto"/>
            </w:tcBorders>
          </w:tcPr>
          <w:p>
            <w:pPr>
              <w:spacing w:after="0"/>
              <w:rPr>
                <w:sz w:val="13"/>
                <w:szCs w:val="13"/>
                <w:color w:val="auto"/>
              </w:rPr>
            </w:pPr>
          </w:p>
        </w:tc>
        <w:tc>
          <w:tcPr>
            <w:tcW w:w="4100" w:type="dxa"/>
            <w:vAlign w:val="bottom"/>
            <w:tcBorders>
              <w:right w:val="single" w:sz="8" w:color="auto"/>
            </w:tcBorders>
          </w:tcPr>
          <w:p>
            <w:pPr>
              <w:spacing w:after="0" w:line="155" w:lineRule="exact"/>
              <w:rPr>
                <w:sz w:val="20"/>
                <w:szCs w:val="20"/>
                <w:color w:val="auto"/>
              </w:rPr>
            </w:pPr>
            <w:r>
              <w:rPr>
                <w:rFonts w:ascii="Times New Roman" w:cs="Times New Roman" w:eastAsia="Times New Roman" w:hAnsi="Times New Roman"/>
                <w:sz w:val="16"/>
                <w:szCs w:val="16"/>
                <w:color w:val="auto"/>
              </w:rPr>
              <w:t>Achieve INGREZZA net sales in 2023 between $1.70B and</w:t>
            </w:r>
          </w:p>
        </w:tc>
        <w:tc>
          <w:tcPr>
            <w:tcW w:w="3960" w:type="dxa"/>
            <w:vAlign w:val="bottom"/>
            <w:tcBorders>
              <w:right w:val="single" w:sz="8" w:color="auto"/>
            </w:tcBorders>
          </w:tcPr>
          <w:p>
            <w:pPr>
              <w:spacing w:after="0" w:line="155" w:lineRule="exact"/>
              <w:rPr>
                <w:sz w:val="20"/>
                <w:szCs w:val="20"/>
                <w:color w:val="auto"/>
              </w:rPr>
            </w:pPr>
            <w:r>
              <w:rPr>
                <w:rFonts w:ascii="Times New Roman" w:cs="Times New Roman" w:eastAsia="Times New Roman" w:hAnsi="Times New Roman"/>
                <w:sz w:val="16"/>
                <w:szCs w:val="16"/>
                <w:color w:val="auto"/>
              </w:rPr>
              <w:t>Achieved INGREZZA net sales of $1.84B</w:t>
            </w:r>
          </w:p>
        </w:tc>
        <w:tc>
          <w:tcPr>
            <w:tcW w:w="13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Achieved High</w:t>
            </w:r>
          </w:p>
        </w:tc>
        <w:tc>
          <w:tcPr>
            <w:tcW w:w="0" w:type="dxa"/>
            <w:vAlign w:val="bottom"/>
          </w:tcPr>
          <w:p>
            <w:pPr>
              <w:spacing w:after="0"/>
              <w:rPr>
                <w:sz w:val="1"/>
                <w:szCs w:val="1"/>
                <w:color w:val="auto"/>
              </w:rPr>
            </w:pPr>
          </w:p>
        </w:tc>
      </w:tr>
      <w:tr>
        <w:trPr>
          <w:trHeight w:val="212"/>
        </w:trPr>
        <w:tc>
          <w:tcPr>
            <w:tcW w:w="1900" w:type="dxa"/>
            <w:vAlign w:val="bottom"/>
            <w:tcBorders>
              <w:left w:val="single" w:sz="8" w:color="auto"/>
              <w:right w:val="single" w:sz="8" w:color="auto"/>
            </w:tcBorders>
          </w:tcPr>
          <w:p>
            <w:pPr>
              <w:spacing w:after="0"/>
              <w:rPr>
                <w:sz w:val="18"/>
                <w:szCs w:val="18"/>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$1.84B</w:t>
            </w:r>
          </w:p>
        </w:tc>
        <w:tc>
          <w:tcPr>
            <w:tcW w:w="39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End of Range</w:t>
            </w:r>
          </w:p>
        </w:tc>
        <w:tc>
          <w:tcPr>
            <w:tcW w:w="0" w:type="dxa"/>
            <w:vAlign w:val="bottom"/>
          </w:tcPr>
          <w:p>
            <w:pPr>
              <w:spacing w:after="0"/>
              <w:rPr>
                <w:sz w:val="1"/>
                <w:szCs w:val="1"/>
                <w:color w:val="auto"/>
              </w:rPr>
            </w:pPr>
          </w:p>
        </w:tc>
      </w:tr>
      <w:tr>
        <w:trPr>
          <w:trHeight w:val="98"/>
        </w:trPr>
        <w:tc>
          <w:tcPr>
            <w:tcW w:w="19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Commercial Activities</w:t>
            </w:r>
          </w:p>
        </w:tc>
        <w:tc>
          <w:tcPr>
            <w:tcW w:w="4100" w:type="dxa"/>
            <w:vAlign w:val="bottom"/>
            <w:tcBorders>
              <w:bottom w:val="single" w:sz="8" w:color="auto"/>
              <w:right w:val="single" w:sz="8" w:color="auto"/>
            </w:tcBorders>
          </w:tcPr>
          <w:p>
            <w:pPr>
              <w:spacing w:after="0"/>
              <w:rPr>
                <w:sz w:val="8"/>
                <w:szCs w:val="8"/>
                <w:color w:val="auto"/>
              </w:rPr>
            </w:pPr>
          </w:p>
        </w:tc>
        <w:tc>
          <w:tcPr>
            <w:tcW w:w="396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1900" w:type="dxa"/>
            <w:vAlign w:val="bottom"/>
            <w:tcBorders>
              <w:left w:val="single" w:sz="8" w:color="auto"/>
              <w:right w:val="single" w:sz="8" w:color="auto"/>
            </w:tcBorders>
            <w:vMerge w:val="continue"/>
          </w:tcPr>
          <w:p>
            <w:pPr>
              <w:spacing w:after="0"/>
              <w:rPr>
                <w:sz w:val="13"/>
                <w:szCs w:val="13"/>
                <w:color w:val="auto"/>
              </w:rPr>
            </w:pPr>
          </w:p>
        </w:tc>
        <w:tc>
          <w:tcPr>
            <w:tcW w:w="4100" w:type="dxa"/>
            <w:vAlign w:val="bottom"/>
            <w:tcBorders>
              <w:right w:val="single" w:sz="8" w:color="auto"/>
            </w:tcBorders>
          </w:tcPr>
          <w:p>
            <w:pPr>
              <w:spacing w:after="0" w:line="155" w:lineRule="exact"/>
              <w:rPr>
                <w:sz w:val="20"/>
                <w:szCs w:val="20"/>
                <w:color w:val="auto"/>
              </w:rPr>
            </w:pPr>
            <w:r>
              <w:rPr>
                <w:rFonts w:ascii="Times New Roman" w:cs="Times New Roman" w:eastAsia="Times New Roman" w:hAnsi="Times New Roman"/>
                <w:sz w:val="16"/>
                <w:szCs w:val="16"/>
                <w:color w:val="auto"/>
              </w:rPr>
              <w:t>Prepare for launch of INGREZZA for chorea associated with</w:t>
            </w:r>
          </w:p>
        </w:tc>
        <w:tc>
          <w:tcPr>
            <w:tcW w:w="3960" w:type="dxa"/>
            <w:vAlign w:val="bottom"/>
            <w:tcBorders>
              <w:right w:val="single" w:sz="8" w:color="auto"/>
            </w:tcBorders>
          </w:tcPr>
          <w:p>
            <w:pPr>
              <w:spacing w:after="0" w:line="155" w:lineRule="exact"/>
              <w:rPr>
                <w:sz w:val="20"/>
                <w:szCs w:val="20"/>
                <w:color w:val="auto"/>
              </w:rPr>
            </w:pPr>
            <w:r>
              <w:rPr>
                <w:rFonts w:ascii="Times New Roman" w:cs="Times New Roman" w:eastAsia="Times New Roman" w:hAnsi="Times New Roman"/>
                <w:sz w:val="16"/>
                <w:szCs w:val="16"/>
                <w:color w:val="auto"/>
              </w:rPr>
              <w:t>Completed launch-ready activities</w:t>
            </w:r>
          </w:p>
        </w:tc>
        <w:tc>
          <w:tcPr>
            <w:tcW w:w="13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Achieved</w:t>
            </w:r>
          </w:p>
        </w:tc>
        <w:tc>
          <w:tcPr>
            <w:tcW w:w="0" w:type="dxa"/>
            <w:vAlign w:val="bottom"/>
          </w:tcPr>
          <w:p>
            <w:pPr>
              <w:spacing w:after="0"/>
              <w:rPr>
                <w:sz w:val="1"/>
                <w:szCs w:val="1"/>
                <w:color w:val="auto"/>
              </w:rPr>
            </w:pPr>
          </w:p>
        </w:tc>
      </w:tr>
      <w:tr>
        <w:trPr>
          <w:trHeight w:val="210"/>
        </w:trPr>
        <w:tc>
          <w:tcPr>
            <w:tcW w:w="1900" w:type="dxa"/>
            <w:vAlign w:val="bottom"/>
            <w:tcBorders>
              <w:left w:val="single" w:sz="8" w:color="auto"/>
              <w:right w:val="single" w:sz="8" w:color="auto"/>
            </w:tcBorders>
          </w:tcPr>
          <w:p>
            <w:pPr>
              <w:spacing w:after="0"/>
              <w:rPr>
                <w:sz w:val="18"/>
                <w:szCs w:val="18"/>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Huntington's disease</w:t>
            </w:r>
          </w:p>
        </w:tc>
        <w:tc>
          <w:tcPr>
            <w:tcW w:w="396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1900" w:type="dxa"/>
            <w:vAlign w:val="bottom"/>
            <w:tcBorders>
              <w:left w:val="single" w:sz="8" w:color="auto"/>
              <w:right w:val="single" w:sz="8" w:color="auto"/>
            </w:tcBorders>
          </w:tcPr>
          <w:p>
            <w:pPr>
              <w:spacing w:after="0"/>
              <w:rPr>
                <w:sz w:val="8"/>
                <w:szCs w:val="8"/>
                <w:color w:val="auto"/>
              </w:rPr>
            </w:pPr>
          </w:p>
        </w:tc>
        <w:tc>
          <w:tcPr>
            <w:tcW w:w="4100" w:type="dxa"/>
            <w:vAlign w:val="bottom"/>
            <w:tcBorders>
              <w:bottom w:val="single" w:sz="8" w:color="auto"/>
              <w:right w:val="single" w:sz="8" w:color="auto"/>
            </w:tcBorders>
          </w:tcPr>
          <w:p>
            <w:pPr>
              <w:spacing w:after="0"/>
              <w:rPr>
                <w:sz w:val="8"/>
                <w:szCs w:val="8"/>
                <w:color w:val="auto"/>
              </w:rPr>
            </w:pPr>
          </w:p>
        </w:tc>
        <w:tc>
          <w:tcPr>
            <w:tcW w:w="396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1900" w:type="dxa"/>
            <w:vAlign w:val="bottom"/>
            <w:tcBorders>
              <w:left w:val="single" w:sz="8" w:color="auto"/>
              <w:right w:val="single" w:sz="8" w:color="auto"/>
            </w:tcBorders>
          </w:tcPr>
          <w:p>
            <w:pPr>
              <w:spacing w:after="0"/>
              <w:rPr>
                <w:sz w:val="13"/>
                <w:szCs w:val="13"/>
                <w:color w:val="auto"/>
              </w:rPr>
            </w:pPr>
          </w:p>
        </w:tc>
        <w:tc>
          <w:tcPr>
            <w:tcW w:w="4100" w:type="dxa"/>
            <w:vAlign w:val="bottom"/>
            <w:tcBorders>
              <w:right w:val="single" w:sz="8" w:color="auto"/>
            </w:tcBorders>
          </w:tcPr>
          <w:p>
            <w:pPr>
              <w:spacing w:after="0" w:line="155" w:lineRule="exact"/>
              <w:rPr>
                <w:sz w:val="20"/>
                <w:szCs w:val="20"/>
                <w:color w:val="auto"/>
              </w:rPr>
            </w:pPr>
            <w:r>
              <w:rPr>
                <w:rFonts w:ascii="Times New Roman" w:cs="Times New Roman" w:eastAsia="Times New Roman" w:hAnsi="Times New Roman"/>
                <w:sz w:val="16"/>
                <w:szCs w:val="16"/>
                <w:color w:val="auto"/>
              </w:rPr>
              <w:t>Stage-appropriate crinecerfont launch readiness</w:t>
            </w:r>
          </w:p>
        </w:tc>
        <w:tc>
          <w:tcPr>
            <w:tcW w:w="3960" w:type="dxa"/>
            <w:vAlign w:val="bottom"/>
            <w:tcBorders>
              <w:right w:val="single" w:sz="8" w:color="auto"/>
            </w:tcBorders>
          </w:tcPr>
          <w:p>
            <w:pPr>
              <w:spacing w:after="0" w:line="155" w:lineRule="exact"/>
              <w:rPr>
                <w:sz w:val="20"/>
                <w:szCs w:val="20"/>
                <w:color w:val="auto"/>
              </w:rPr>
            </w:pPr>
            <w:r>
              <w:rPr>
                <w:rFonts w:ascii="Times New Roman" w:cs="Times New Roman" w:eastAsia="Times New Roman" w:hAnsi="Times New Roman"/>
                <w:sz w:val="16"/>
                <w:szCs w:val="16"/>
                <w:color w:val="auto"/>
              </w:rPr>
              <w:t>Completed foundational activities and build-out of initial</w:t>
            </w:r>
          </w:p>
        </w:tc>
        <w:tc>
          <w:tcPr>
            <w:tcW w:w="13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Achieved</w:t>
            </w:r>
          </w:p>
        </w:tc>
        <w:tc>
          <w:tcPr>
            <w:tcW w:w="0" w:type="dxa"/>
            <w:vAlign w:val="bottom"/>
          </w:tcPr>
          <w:p>
            <w:pPr>
              <w:spacing w:after="0"/>
              <w:rPr>
                <w:sz w:val="1"/>
                <w:szCs w:val="1"/>
                <w:color w:val="auto"/>
              </w:rPr>
            </w:pPr>
          </w:p>
        </w:tc>
      </w:tr>
      <w:tr>
        <w:trPr>
          <w:trHeight w:val="210"/>
        </w:trPr>
        <w:tc>
          <w:tcPr>
            <w:tcW w:w="1900" w:type="dxa"/>
            <w:vAlign w:val="bottom"/>
            <w:tcBorders>
              <w:left w:val="single" w:sz="8" w:color="auto"/>
              <w:right w:val="single" w:sz="8" w:color="auto"/>
            </w:tcBorders>
          </w:tcPr>
          <w:p>
            <w:pPr>
              <w:spacing w:after="0"/>
              <w:rPr>
                <w:sz w:val="18"/>
                <w:szCs w:val="18"/>
                <w:color w:val="auto"/>
              </w:rPr>
            </w:pPr>
          </w:p>
        </w:tc>
        <w:tc>
          <w:tcPr>
            <w:tcW w:w="4100" w:type="dxa"/>
            <w:vAlign w:val="bottom"/>
            <w:tcBorders>
              <w:right w:val="single" w:sz="8" w:color="auto"/>
            </w:tcBorders>
          </w:tcPr>
          <w:p>
            <w:pPr>
              <w:spacing w:after="0"/>
              <w:rPr>
                <w:sz w:val="18"/>
                <w:szCs w:val="18"/>
                <w:color w:val="auto"/>
              </w:rPr>
            </w:pPr>
          </w:p>
        </w:tc>
        <w:tc>
          <w:tcPr>
            <w:tcW w:w="3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commercial team</w:t>
            </w: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1900" w:type="dxa"/>
            <w:vAlign w:val="bottom"/>
            <w:tcBorders>
              <w:left w:val="single" w:sz="8" w:color="auto"/>
              <w:bottom w:val="single" w:sz="8" w:color="auto"/>
              <w:right w:val="single" w:sz="8" w:color="auto"/>
            </w:tcBorders>
          </w:tcPr>
          <w:p>
            <w:pPr>
              <w:spacing w:after="0"/>
              <w:rPr>
                <w:sz w:val="8"/>
                <w:szCs w:val="8"/>
                <w:color w:val="auto"/>
              </w:rPr>
            </w:pPr>
          </w:p>
        </w:tc>
        <w:tc>
          <w:tcPr>
            <w:tcW w:w="4100" w:type="dxa"/>
            <w:vAlign w:val="bottom"/>
            <w:tcBorders>
              <w:bottom w:val="single" w:sz="8" w:color="auto"/>
              <w:right w:val="single" w:sz="8" w:color="auto"/>
            </w:tcBorders>
          </w:tcPr>
          <w:p>
            <w:pPr>
              <w:spacing w:after="0"/>
              <w:rPr>
                <w:sz w:val="8"/>
                <w:szCs w:val="8"/>
                <w:color w:val="auto"/>
              </w:rPr>
            </w:pPr>
          </w:p>
        </w:tc>
        <w:tc>
          <w:tcPr>
            <w:tcW w:w="396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93980</wp:posOffset>
            </wp:positionV>
            <wp:extent cx="7140575" cy="23145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0575" cy="2314575"/>
                    </a:xfrm>
                    <a:prstGeom prst="rect">
                      <a:avLst/>
                    </a:prstGeom>
                    <a:noFill/>
                  </pic:spPr>
                </pic:pic>
              </a:graphicData>
            </a:graphic>
          </wp:anchor>
        </w:drawing>
      </w:r>
    </w:p>
    <w:p>
      <w:pPr>
        <w:sectPr>
          <w:pgSz w:w="11900" w:h="16838" w:orient="portrait"/>
          <w:cols w:equalWidth="0" w:num="1">
            <w:col w:w="11360"/>
          </w:cols>
          <w:pgMar w:left="220" w:top="11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6"/>
          <w:szCs w:val="16"/>
          <w:b w:val="1"/>
          <w:bCs w:val="1"/>
          <w:color w:val="auto"/>
        </w:rPr>
        <w:t>Advance and Expand</w:t>
      </w:r>
    </w:p>
    <w:p>
      <w:pPr>
        <w:jc w:val="center"/>
        <w:ind w:left="300"/>
        <w:spacing w:after="0"/>
        <w:rPr>
          <w:sz w:val="20"/>
          <w:szCs w:val="20"/>
          <w:color w:val="auto"/>
        </w:rPr>
      </w:pPr>
      <w:r>
        <w:rPr>
          <w:rFonts w:ascii="Times New Roman" w:cs="Times New Roman" w:eastAsia="Times New Roman" w:hAnsi="Times New Roman"/>
          <w:sz w:val="16"/>
          <w:szCs w:val="16"/>
          <w:b w:val="1"/>
          <w:bCs w:val="1"/>
          <w:color w:val="auto"/>
        </w:rPr>
        <w:t>Clinical Pipeline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84"/>
        </w:trPr>
        <w:tc>
          <w:tcPr>
            <w:tcW w:w="41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sNDA Approval:</w:t>
            </w:r>
          </w:p>
        </w:tc>
        <w:tc>
          <w:tcPr>
            <w:tcW w:w="120" w:type="dxa"/>
            <w:vAlign w:val="bottom"/>
          </w:tcPr>
          <w:p>
            <w:pPr>
              <w:spacing w:after="0"/>
              <w:rPr>
                <w:sz w:val="16"/>
                <w:szCs w:val="16"/>
                <w:color w:val="auto"/>
              </w:rPr>
            </w:pPr>
          </w:p>
        </w:tc>
        <w:tc>
          <w:tcPr>
            <w:tcW w:w="384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Achieved</w:t>
            </w:r>
          </w:p>
        </w:tc>
        <w:tc>
          <w:tcPr>
            <w:tcW w:w="0" w:type="dxa"/>
            <w:vAlign w:val="bottom"/>
          </w:tcPr>
          <w:p>
            <w:pPr>
              <w:spacing w:after="0"/>
              <w:rPr>
                <w:sz w:val="1"/>
                <w:szCs w:val="1"/>
                <w:color w:val="auto"/>
              </w:rPr>
            </w:pPr>
          </w:p>
        </w:tc>
      </w:tr>
      <w:tr>
        <w:trPr>
          <w:trHeight w:val="243"/>
        </w:trPr>
        <w:tc>
          <w:tcPr>
            <w:tcW w:w="41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Obtain FDA approval of sNDA for valbenazine for treatment</w:t>
            </w:r>
          </w:p>
        </w:tc>
        <w:tc>
          <w:tcPr>
            <w:tcW w:w="3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Obtained FDA approval in August 2023</w:t>
            </w:r>
          </w:p>
        </w:tc>
        <w:tc>
          <w:tcPr>
            <w:tcW w:w="1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of chorea associated with Huntington disease</w:t>
            </w:r>
          </w:p>
        </w:tc>
        <w:tc>
          <w:tcPr>
            <w:tcW w:w="120" w:type="dxa"/>
            <w:vAlign w:val="bottom"/>
          </w:tcPr>
          <w:p>
            <w:pPr>
              <w:spacing w:after="0"/>
              <w:rPr>
                <w:sz w:val="18"/>
                <w:szCs w:val="18"/>
                <w:color w:val="auto"/>
              </w:rPr>
            </w:pPr>
          </w:p>
        </w:tc>
        <w:tc>
          <w:tcPr>
            <w:tcW w:w="38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120" w:type="dxa"/>
            <w:vAlign w:val="bottom"/>
            <w:tcBorders>
              <w:left w:val="single" w:sz="8" w:color="auto"/>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40" w:type="dxa"/>
            <w:vAlign w:val="bottom"/>
            <w:tcBorders>
              <w:bottom w:val="single" w:sz="8" w:color="auto"/>
              <w:right w:val="single" w:sz="8" w:color="auto"/>
            </w:tcBorders>
          </w:tcPr>
          <w:p>
            <w:pPr>
              <w:spacing w:after="0"/>
              <w:rPr>
                <w:sz w:val="14"/>
                <w:szCs w:val="14"/>
                <w:color w:val="auto"/>
              </w:rPr>
            </w:pPr>
          </w:p>
        </w:tc>
        <w:tc>
          <w:tcPr>
            <w:tcW w:w="13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20" w:type="dxa"/>
            <w:vAlign w:val="bottom"/>
            <w:tcBorders>
              <w:left w:val="single" w:sz="8" w:color="auto"/>
              <w:right w:val="single" w:sz="8" w:color="auto"/>
            </w:tcBorders>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Phase 2 and Phase 3 Clinical Pipeline:</w:t>
            </w:r>
          </w:p>
        </w:tc>
        <w:tc>
          <w:tcPr>
            <w:tcW w:w="120" w:type="dxa"/>
            <w:vAlign w:val="bottom"/>
          </w:tcPr>
          <w:p>
            <w:pPr>
              <w:spacing w:after="0"/>
              <w:rPr>
                <w:sz w:val="13"/>
                <w:szCs w:val="13"/>
                <w:color w:val="auto"/>
              </w:rPr>
            </w:pPr>
          </w:p>
        </w:tc>
        <w:tc>
          <w:tcPr>
            <w:tcW w:w="384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Over Achieved in</w:t>
            </w:r>
          </w:p>
        </w:tc>
        <w:tc>
          <w:tcPr>
            <w:tcW w:w="0" w:type="dxa"/>
            <w:vAlign w:val="bottom"/>
          </w:tcPr>
          <w:p>
            <w:pPr>
              <w:spacing w:after="0"/>
              <w:rPr>
                <w:sz w:val="1"/>
                <w:szCs w:val="1"/>
                <w:color w:val="auto"/>
              </w:rPr>
            </w:pPr>
          </w:p>
        </w:tc>
      </w:tr>
      <w:tr>
        <w:trPr>
          <w:trHeight w:val="212"/>
        </w:trPr>
        <w:tc>
          <w:tcPr>
            <w:tcW w:w="41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 Report topline data in two Phase 3 studies in CAH (adults</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3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Reported positive top-line data from the Phase 3 clinical</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Part*</w:t>
            </w:r>
          </w:p>
        </w:tc>
        <w:tc>
          <w:tcPr>
            <w:tcW w:w="0" w:type="dxa"/>
            <w:vAlign w:val="bottom"/>
          </w:tcPr>
          <w:p>
            <w:pPr>
              <w:spacing w:after="0"/>
              <w:rPr>
                <w:sz w:val="1"/>
                <w:szCs w:val="1"/>
                <w:color w:val="auto"/>
              </w:rPr>
            </w:pPr>
          </w:p>
        </w:tc>
      </w:tr>
      <w:tr>
        <w:trPr>
          <w:trHeight w:val="112"/>
        </w:trPr>
        <w:tc>
          <w:tcPr>
            <w:tcW w:w="4120" w:type="dxa"/>
            <w:vAlign w:val="bottom"/>
            <w:tcBorders>
              <w:left w:val="single" w:sz="8" w:color="auto"/>
              <w:right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3840" w:type="dxa"/>
            <w:vAlign w:val="bottom"/>
            <w:tcBorders>
              <w:right w:val="single" w:sz="8" w:color="auto"/>
            </w:tcBorders>
            <w:vMerge w:val="continue"/>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120" w:type="dxa"/>
            <w:vAlign w:val="bottom"/>
            <w:tcBorders>
              <w:left w:val="single" w:sz="8" w:color="auto"/>
              <w:right w:val="single" w:sz="8" w:color="auto"/>
            </w:tcBorders>
          </w:tcPr>
          <w:p>
            <w:pPr>
              <w:ind w:left="260"/>
              <w:spacing w:after="0" w:line="162" w:lineRule="exact"/>
              <w:rPr>
                <w:sz w:val="20"/>
                <w:szCs w:val="20"/>
                <w:color w:val="auto"/>
              </w:rPr>
            </w:pPr>
            <w:r>
              <w:rPr>
                <w:rFonts w:ascii="Times New Roman" w:cs="Times New Roman" w:eastAsia="Times New Roman" w:hAnsi="Times New Roman"/>
                <w:sz w:val="16"/>
                <w:szCs w:val="16"/>
                <w:color w:val="auto"/>
              </w:rPr>
              <w:t>and pediatrics)</w:t>
            </w:r>
          </w:p>
        </w:tc>
        <w:tc>
          <w:tcPr>
            <w:tcW w:w="120" w:type="dxa"/>
            <w:vAlign w:val="bottom"/>
          </w:tcPr>
          <w:p>
            <w:pPr>
              <w:spacing w:after="0"/>
              <w:rPr>
                <w:sz w:val="14"/>
                <w:szCs w:val="14"/>
                <w:color w:val="auto"/>
              </w:rPr>
            </w:pPr>
          </w:p>
        </w:tc>
        <w:tc>
          <w:tcPr>
            <w:tcW w:w="3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studies of crinecerfont in adults and pediatrics with CAH</w:t>
            </w: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120" w:type="dxa"/>
            <w:vAlign w:val="bottom"/>
            <w:tcBorders>
              <w:left w:val="single" w:sz="8" w:color="auto"/>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840" w:type="dxa"/>
            <w:vAlign w:val="bottom"/>
            <w:tcBorders>
              <w:right w:val="single" w:sz="8" w:color="auto"/>
            </w:tcBorders>
            <w:vMerge w:val="continue"/>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18"/>
        </w:trPr>
        <w:tc>
          <w:tcPr>
            <w:tcW w:w="41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 Achieve enrollment targets in all studies</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3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Met enrollment targets in most studies</w:t>
            </w:r>
          </w:p>
        </w:tc>
        <w:tc>
          <w:tcPr>
            <w:tcW w:w="1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120" w:type="dxa"/>
            <w:vAlign w:val="bottom"/>
            <w:tcBorders>
              <w:left w:val="single" w:sz="8" w:color="auto"/>
              <w:right w:val="single" w:sz="8" w:color="auto"/>
            </w:tcBorders>
          </w:tcPr>
          <w:p>
            <w:pPr>
              <w:spacing w:after="0"/>
              <w:rPr>
                <w:sz w:val="4"/>
                <w:szCs w:val="4"/>
                <w:color w:val="auto"/>
              </w:rPr>
            </w:pPr>
          </w:p>
        </w:tc>
        <w:tc>
          <w:tcPr>
            <w:tcW w:w="120" w:type="dxa"/>
            <w:vAlign w:val="bottom"/>
            <w:vMerge w:val="continue"/>
          </w:tcPr>
          <w:p>
            <w:pPr>
              <w:spacing w:after="0"/>
              <w:rPr>
                <w:sz w:val="4"/>
                <w:szCs w:val="4"/>
                <w:color w:val="auto"/>
              </w:rPr>
            </w:pPr>
          </w:p>
        </w:tc>
        <w:tc>
          <w:tcPr>
            <w:tcW w:w="3840" w:type="dxa"/>
            <w:vAlign w:val="bottom"/>
            <w:tcBorders>
              <w:right w:val="single" w:sz="8" w:color="auto"/>
            </w:tcBorders>
            <w:vMerge w:val="continue"/>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41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 Report top-line data on two Phase 2 studies</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3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Reported top-line data on one Phase 2 study</w:t>
            </w:r>
          </w:p>
        </w:tc>
        <w:tc>
          <w:tcPr>
            <w:tcW w:w="1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120" w:type="dxa"/>
            <w:vAlign w:val="bottom"/>
            <w:tcBorders>
              <w:left w:val="single" w:sz="8" w:color="auto"/>
              <w:right w:val="single" w:sz="8" w:color="auto"/>
            </w:tcBorders>
          </w:tcPr>
          <w:p>
            <w:pPr>
              <w:spacing w:after="0"/>
              <w:rPr>
                <w:sz w:val="4"/>
                <w:szCs w:val="4"/>
                <w:color w:val="auto"/>
              </w:rPr>
            </w:pPr>
          </w:p>
        </w:tc>
        <w:tc>
          <w:tcPr>
            <w:tcW w:w="120" w:type="dxa"/>
            <w:vAlign w:val="bottom"/>
            <w:vMerge w:val="continue"/>
          </w:tcPr>
          <w:p>
            <w:pPr>
              <w:spacing w:after="0"/>
              <w:rPr>
                <w:sz w:val="4"/>
                <w:szCs w:val="4"/>
                <w:color w:val="auto"/>
              </w:rPr>
            </w:pPr>
          </w:p>
        </w:tc>
        <w:tc>
          <w:tcPr>
            <w:tcW w:w="3840" w:type="dxa"/>
            <w:vAlign w:val="bottom"/>
            <w:tcBorders>
              <w:right w:val="single" w:sz="8" w:color="auto"/>
            </w:tcBorders>
            <w:vMerge w:val="continue"/>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4120" w:type="dxa"/>
            <w:vAlign w:val="bottom"/>
            <w:tcBorders>
              <w:left w:val="single" w:sz="8" w:color="auto"/>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4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120" w:type="dxa"/>
            <w:vAlign w:val="bottom"/>
            <w:tcBorders>
              <w:left w:val="single" w:sz="8" w:color="auto"/>
              <w:right w:val="single" w:sz="8" w:color="auto"/>
            </w:tcBorders>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Phase 1 Studies:</w:t>
            </w:r>
          </w:p>
        </w:tc>
        <w:tc>
          <w:tcPr>
            <w:tcW w:w="120" w:type="dxa"/>
            <w:vAlign w:val="bottom"/>
          </w:tcPr>
          <w:p>
            <w:pPr>
              <w:spacing w:after="0"/>
              <w:rPr>
                <w:sz w:val="13"/>
                <w:szCs w:val="13"/>
                <w:color w:val="auto"/>
              </w:rPr>
            </w:pPr>
          </w:p>
        </w:tc>
        <w:tc>
          <w:tcPr>
            <w:tcW w:w="384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Over Achieved</w:t>
            </w:r>
          </w:p>
        </w:tc>
        <w:tc>
          <w:tcPr>
            <w:tcW w:w="0" w:type="dxa"/>
            <w:vAlign w:val="bottom"/>
          </w:tcPr>
          <w:p>
            <w:pPr>
              <w:spacing w:after="0"/>
              <w:rPr>
                <w:sz w:val="1"/>
                <w:szCs w:val="1"/>
                <w:color w:val="auto"/>
              </w:rPr>
            </w:pPr>
          </w:p>
        </w:tc>
      </w:tr>
      <w:tr>
        <w:trPr>
          <w:trHeight w:val="210"/>
        </w:trPr>
        <w:tc>
          <w:tcPr>
            <w:tcW w:w="41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Complete IND/CTA submission for 4 new chemical entities</w:t>
            </w:r>
          </w:p>
        </w:tc>
        <w:tc>
          <w:tcPr>
            <w:tcW w:w="396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IND/CTA submissions completed for five new chemical</w:t>
            </w: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Borders>
              <w:left w:val="single" w:sz="8" w:color="auto"/>
              <w:right w:val="single" w:sz="8" w:color="auto"/>
            </w:tcBorders>
          </w:tcPr>
          <w:p>
            <w:pPr>
              <w:spacing w:after="0"/>
              <w:rPr>
                <w:sz w:val="2"/>
                <w:szCs w:val="2"/>
                <w:color w:val="auto"/>
              </w:rPr>
            </w:pPr>
          </w:p>
        </w:tc>
        <w:tc>
          <w:tcPr>
            <w:tcW w:w="3960" w:type="dxa"/>
            <w:vAlign w:val="bottom"/>
            <w:tcBorders>
              <w:right w:val="single" w:sz="8" w:color="auto"/>
            </w:tcBorders>
            <w:gridSpan w:val="2"/>
            <w:vMerge w:val="continue"/>
          </w:tcPr>
          <w:p>
            <w:pPr>
              <w:spacing w:after="0"/>
              <w:rPr>
                <w:sz w:val="2"/>
                <w:szCs w:val="2"/>
                <w:color w:val="auto"/>
              </w:rPr>
            </w:pPr>
          </w:p>
        </w:tc>
        <w:tc>
          <w:tcPr>
            <w:tcW w:w="13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120" w:type="dxa"/>
            <w:vAlign w:val="bottom"/>
            <w:tcBorders>
              <w:left w:val="single" w:sz="8" w:color="auto"/>
              <w:bottom w:val="single" w:sz="8" w:color="auto"/>
              <w:right w:val="single" w:sz="8" w:color="auto"/>
            </w:tcBorders>
          </w:tcPr>
          <w:p>
            <w:pPr>
              <w:spacing w:after="0"/>
              <w:rPr>
                <w:sz w:val="18"/>
                <w:szCs w:val="18"/>
                <w:color w:val="auto"/>
              </w:rPr>
            </w:pP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entities.</w:t>
            </w: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120" w:type="dxa"/>
            <w:vAlign w:val="bottom"/>
            <w:tcBorders>
              <w:left w:val="single" w:sz="8" w:color="auto"/>
              <w:right w:val="single" w:sz="8" w:color="auto"/>
            </w:tcBorders>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Development:</w:t>
            </w:r>
          </w:p>
        </w:tc>
        <w:tc>
          <w:tcPr>
            <w:tcW w:w="120" w:type="dxa"/>
            <w:vAlign w:val="bottom"/>
          </w:tcPr>
          <w:p>
            <w:pPr>
              <w:spacing w:after="0"/>
              <w:rPr>
                <w:sz w:val="13"/>
                <w:szCs w:val="13"/>
                <w:color w:val="auto"/>
              </w:rPr>
            </w:pPr>
          </w:p>
        </w:tc>
        <w:tc>
          <w:tcPr>
            <w:tcW w:w="384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Achieved in Part</w:t>
            </w:r>
          </w:p>
        </w:tc>
        <w:tc>
          <w:tcPr>
            <w:tcW w:w="0" w:type="dxa"/>
            <w:vAlign w:val="bottom"/>
          </w:tcPr>
          <w:p>
            <w:pPr>
              <w:spacing w:after="0"/>
              <w:rPr>
                <w:sz w:val="1"/>
                <w:szCs w:val="1"/>
                <w:color w:val="auto"/>
              </w:rPr>
            </w:pPr>
          </w:p>
        </w:tc>
      </w:tr>
      <w:tr>
        <w:trPr>
          <w:trHeight w:val="162"/>
        </w:trPr>
        <w:tc>
          <w:tcPr>
            <w:tcW w:w="4120" w:type="dxa"/>
            <w:vAlign w:val="bottom"/>
            <w:tcBorders>
              <w:left w:val="single" w:sz="8" w:color="auto"/>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6"/>
                <w:szCs w:val="16"/>
                <w:color w:val="auto"/>
              </w:rPr>
              <w:t>Identify 3 new development candidates, including one</w:t>
            </w:r>
          </w:p>
        </w:tc>
        <w:tc>
          <w:tcPr>
            <w:tcW w:w="396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Identified two new development candidates</w:t>
            </w: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biologic</w:t>
            </w:r>
          </w:p>
        </w:tc>
        <w:tc>
          <w:tcPr>
            <w:tcW w:w="3960" w:type="dxa"/>
            <w:vAlign w:val="bottom"/>
            <w:tcBorders>
              <w:right w:val="single" w:sz="8" w:color="auto"/>
            </w:tcBorders>
            <w:gridSpan w:val="2"/>
            <w:vMerge w:val="continue"/>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4120" w:type="dxa"/>
            <w:vAlign w:val="bottom"/>
            <w:tcBorders>
              <w:left w:val="single" w:sz="8" w:color="auto"/>
              <w:right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3840" w:type="dxa"/>
            <w:vAlign w:val="bottom"/>
            <w:tcBorders>
              <w:right w:val="single" w:sz="8" w:color="auto"/>
            </w:tcBorders>
          </w:tcPr>
          <w:p>
            <w:pPr>
              <w:spacing w:after="0"/>
              <w:rPr>
                <w:sz w:val="8"/>
                <w:szCs w:val="8"/>
                <w:color w:val="auto"/>
              </w:rPr>
            </w:pPr>
          </w:p>
        </w:tc>
        <w:tc>
          <w:tcPr>
            <w:tcW w:w="1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2">
            <w:col w:w="1780" w:space="200"/>
            <w:col w:w="9380"/>
          </w:cols>
          <w:pgMar w:left="220" w:top="112" w:right="319" w:bottom="1440" w:gutter="0" w:footer="0" w:header="0"/>
          <w:type w:val="continuous"/>
        </w:sectPr>
      </w:pPr>
    </w:p>
    <w:tbl>
      <w:tblPr>
        <w:tblLayout w:type="fixed"/>
        <w:tblInd w:w="110" w:type="dxa"/>
        <w:tblCellMar>
          <w:top w:w="0" w:type="dxa"/>
          <w:left w:w="0" w:type="dxa"/>
          <w:bottom w:w="0" w:type="dxa"/>
          <w:right w:w="0" w:type="dxa"/>
        </w:tblCellMar>
      </w:tblPr>
      <w:tr>
        <w:trPr>
          <w:trHeight w:val="175"/>
        </w:trPr>
        <w:tc>
          <w:tcPr>
            <w:tcW w:w="1900" w:type="dxa"/>
            <w:vAlign w:val="bottom"/>
            <w:tcBorders>
              <w:top w:val="single" w:sz="8" w:color="auto"/>
              <w:left w:val="single" w:sz="8" w:color="auto"/>
              <w:right w:val="single" w:sz="8" w:color="auto"/>
            </w:tcBorders>
          </w:tcPr>
          <w:p>
            <w:pPr>
              <w:spacing w:after="0"/>
              <w:rPr>
                <w:sz w:val="15"/>
                <w:szCs w:val="15"/>
                <w:color w:val="auto"/>
              </w:rPr>
            </w:pPr>
          </w:p>
        </w:tc>
        <w:tc>
          <w:tcPr>
            <w:tcW w:w="4100" w:type="dxa"/>
            <w:vAlign w:val="bottom"/>
            <w:tcBorders>
              <w:top w:val="single" w:sz="8" w:color="auto"/>
              <w:right w:val="single" w:sz="8" w:color="auto"/>
            </w:tcBorders>
          </w:tcPr>
          <w:p>
            <w:pPr>
              <w:ind w:left="80"/>
              <w:spacing w:after="0" w:line="175" w:lineRule="exact"/>
              <w:rPr>
                <w:sz w:val="20"/>
                <w:szCs w:val="20"/>
                <w:color w:val="auto"/>
              </w:rPr>
            </w:pPr>
            <w:r>
              <w:rPr>
                <w:rFonts w:ascii="Times New Roman" w:cs="Times New Roman" w:eastAsia="Times New Roman" w:hAnsi="Times New Roman"/>
                <w:sz w:val="16"/>
                <w:szCs w:val="16"/>
                <w:color w:val="auto"/>
              </w:rPr>
              <w:t>• Meet annual budget for non-GAAP operating expense by</w:t>
            </w:r>
          </w:p>
        </w:tc>
        <w:tc>
          <w:tcPr>
            <w:tcW w:w="3960" w:type="dxa"/>
            <w:vAlign w:val="bottom"/>
            <w:tcBorders>
              <w:top w:val="single" w:sz="8" w:color="auto"/>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 Met annual budget for non-GAAP operating expense by</w:t>
            </w:r>
          </w:p>
        </w:tc>
        <w:tc>
          <w:tcPr>
            <w:tcW w:w="1300" w:type="dxa"/>
            <w:vAlign w:val="bottom"/>
            <w:tcBorders>
              <w:top w:val="single" w:sz="8" w:color="auto"/>
              <w:right w:val="single" w:sz="8" w:color="auto"/>
            </w:tcBorders>
          </w:tcPr>
          <w:p>
            <w:pPr>
              <w:ind w:left="60"/>
              <w:spacing w:after="0" w:line="175" w:lineRule="exact"/>
              <w:rPr>
                <w:sz w:val="20"/>
                <w:szCs w:val="20"/>
                <w:color w:val="auto"/>
              </w:rPr>
            </w:pPr>
            <w:r>
              <w:rPr>
                <w:rFonts w:ascii="Times New Roman" w:cs="Times New Roman" w:eastAsia="Times New Roman" w:hAnsi="Times New Roman"/>
                <w:sz w:val="16"/>
                <w:szCs w:val="16"/>
                <w:b w:val="1"/>
                <w:bCs w:val="1"/>
                <w:color w:val="auto"/>
              </w:rPr>
              <w:t>Achieved in Part</w:t>
            </w:r>
          </w:p>
        </w:tc>
        <w:tc>
          <w:tcPr>
            <w:tcW w:w="0" w:type="dxa"/>
            <w:vAlign w:val="bottom"/>
          </w:tcPr>
          <w:p>
            <w:pPr>
              <w:spacing w:after="0"/>
              <w:rPr>
                <w:sz w:val="1"/>
                <w:szCs w:val="1"/>
                <w:color w:val="auto"/>
              </w:rPr>
            </w:pPr>
          </w:p>
        </w:tc>
      </w:tr>
      <w:tr>
        <w:trPr>
          <w:trHeight w:val="210"/>
        </w:trPr>
        <w:tc>
          <w:tcPr>
            <w:tcW w:w="1900" w:type="dxa"/>
            <w:vAlign w:val="bottom"/>
            <w:tcBorders>
              <w:left w:val="single" w:sz="8" w:color="auto"/>
              <w:right w:val="single" w:sz="8" w:color="auto"/>
            </w:tcBorders>
          </w:tcPr>
          <w:p>
            <w:pPr>
              <w:spacing w:after="0"/>
              <w:rPr>
                <w:sz w:val="18"/>
                <w:szCs w:val="18"/>
                <w:color w:val="auto"/>
              </w:rPr>
            </w:pPr>
          </w:p>
        </w:tc>
        <w:tc>
          <w:tcPr>
            <w:tcW w:w="410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year-end</w:t>
            </w:r>
          </w:p>
        </w:tc>
        <w:tc>
          <w:tcPr>
            <w:tcW w:w="3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year-end</w:t>
            </w: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Financial/Operational</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 Retire convertible notes due May 2024</w:t>
            </w:r>
          </w:p>
        </w:tc>
        <w:tc>
          <w:tcPr>
            <w:tcW w:w="3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 Company made strategic decision in 2023 not to retire</w:t>
            </w:r>
          </w:p>
        </w:tc>
        <w:tc>
          <w:tcPr>
            <w:tcW w:w="1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vMerge w:val="continue"/>
          </w:tcPr>
          <w:p>
            <w:pPr>
              <w:spacing w:after="0"/>
              <w:rPr>
                <w:sz w:val="14"/>
                <w:szCs w:val="14"/>
                <w:color w:val="auto"/>
              </w:rPr>
            </w:pPr>
          </w:p>
        </w:tc>
        <w:tc>
          <w:tcPr>
            <w:tcW w:w="410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ind w:left="160"/>
              <w:spacing w:after="0" w:line="162" w:lineRule="exact"/>
              <w:rPr>
                <w:sz w:val="20"/>
                <w:szCs w:val="20"/>
                <w:color w:val="auto"/>
              </w:rPr>
            </w:pPr>
            <w:r>
              <w:rPr>
                <w:rFonts w:ascii="Times New Roman" w:cs="Times New Roman" w:eastAsia="Times New Roman" w:hAnsi="Times New Roman"/>
                <w:sz w:val="16"/>
                <w:szCs w:val="16"/>
                <w:color w:val="auto"/>
              </w:rPr>
              <w:t>the convertible notes. As of December 31, 2023, $170.4</w:t>
            </w: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4100" w:type="dxa"/>
            <w:vAlign w:val="bottom"/>
            <w:tcBorders>
              <w:right w:val="single" w:sz="8" w:color="auto"/>
            </w:tcBorders>
          </w:tcPr>
          <w:p>
            <w:pPr>
              <w:spacing w:after="0"/>
              <w:rPr>
                <w:sz w:val="14"/>
                <w:szCs w:val="14"/>
                <w:color w:val="auto"/>
              </w:rPr>
            </w:pPr>
          </w:p>
        </w:tc>
        <w:tc>
          <w:tcPr>
            <w:tcW w:w="3960" w:type="dxa"/>
            <w:vAlign w:val="bottom"/>
            <w:tcBorders>
              <w:right w:val="single" w:sz="8" w:color="auto"/>
            </w:tcBorders>
          </w:tcPr>
          <w:p>
            <w:pPr>
              <w:ind w:left="160"/>
              <w:spacing w:after="0" w:line="162" w:lineRule="exact"/>
              <w:rPr>
                <w:sz w:val="20"/>
                <w:szCs w:val="20"/>
                <w:color w:val="auto"/>
              </w:rPr>
            </w:pPr>
            <w:r>
              <w:rPr>
                <w:rFonts w:ascii="Times New Roman" w:cs="Times New Roman" w:eastAsia="Times New Roman" w:hAnsi="Times New Roman"/>
                <w:sz w:val="16"/>
                <w:szCs w:val="16"/>
                <w:color w:val="auto"/>
              </w:rPr>
              <w:t>million aggregate principal amount of the convertible</w:t>
            </w: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900" w:type="dxa"/>
            <w:vAlign w:val="bottom"/>
            <w:tcBorders>
              <w:left w:val="single" w:sz="8" w:color="auto"/>
              <w:right w:val="single" w:sz="8" w:color="auto"/>
            </w:tcBorders>
          </w:tcPr>
          <w:p>
            <w:pPr>
              <w:spacing w:after="0"/>
              <w:rPr>
                <w:sz w:val="18"/>
                <w:szCs w:val="18"/>
                <w:color w:val="auto"/>
              </w:rPr>
            </w:pPr>
          </w:p>
        </w:tc>
        <w:tc>
          <w:tcPr>
            <w:tcW w:w="4100" w:type="dxa"/>
            <w:vAlign w:val="bottom"/>
            <w:tcBorders>
              <w:right w:val="single" w:sz="8" w:color="auto"/>
            </w:tcBorders>
          </w:tcPr>
          <w:p>
            <w:pPr>
              <w:spacing w:after="0"/>
              <w:rPr>
                <w:sz w:val="18"/>
                <w:szCs w:val="18"/>
                <w:color w:val="auto"/>
              </w:rPr>
            </w:pPr>
          </w:p>
        </w:tc>
        <w:tc>
          <w:tcPr>
            <w:tcW w:w="3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notes remained outstanding</w:t>
            </w: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4100" w:type="dxa"/>
            <w:vAlign w:val="bottom"/>
            <w:tcBorders>
              <w:bottom w:val="single" w:sz="8" w:color="auto"/>
              <w:right w:val="single" w:sz="8" w:color="auto"/>
            </w:tcBorders>
          </w:tcPr>
          <w:p>
            <w:pPr>
              <w:spacing w:after="0"/>
              <w:rPr>
                <w:sz w:val="19"/>
                <w:szCs w:val="19"/>
                <w:color w:val="auto"/>
              </w:rPr>
            </w:pPr>
          </w:p>
        </w:tc>
        <w:tc>
          <w:tcPr>
            <w:tcW w:w="396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94615</wp:posOffset>
            </wp:positionV>
            <wp:extent cx="7140575" cy="548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0575" cy="548640"/>
                    </a:xfrm>
                    <a:prstGeom prst="rect">
                      <a:avLst/>
                    </a:prstGeom>
                    <a:noFill/>
                  </pic:spPr>
                </pic:pic>
              </a:graphicData>
            </a:graphic>
          </wp:anchor>
        </w:drawing>
      </w:r>
    </w:p>
    <w:p>
      <w:pPr>
        <w:sectPr>
          <w:pgSz w:w="11900" w:h="16838" w:orient="portrait"/>
          <w:cols w:equalWidth="0" w:num="1">
            <w:col w:w="11360"/>
          </w:cols>
          <w:pgMar w:left="220" w:top="112" w:right="319" w:bottom="1440" w:gutter="0" w:footer="0" w:header="0"/>
          <w:type w:val="continuous"/>
        </w:sectPr>
      </w:pP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7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Maintain or improve sustainability ratings</w:t>
            </w:r>
          </w:p>
        </w:tc>
      </w:tr>
      <w:tr>
        <w:trPr>
          <w:trHeight w:val="350"/>
        </w:trPr>
        <w:tc>
          <w:tcPr>
            <w:tcW w:w="12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3"/>
              </w:rPr>
              <w:t>General Business and People</w:t>
            </w: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7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Continue to maintain company culture of integrity, ethics</w:t>
            </w:r>
          </w:p>
        </w:tc>
      </w:tr>
      <w:tr>
        <w:trPr>
          <w:trHeight w:val="210"/>
        </w:trPr>
        <w:tc>
          <w:tcPr>
            <w:tcW w:w="12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and compliance</w:t>
            </w:r>
          </w:p>
        </w:tc>
      </w:tr>
      <w:tr>
        <w:trPr>
          <w:trHeight w:val="73"/>
        </w:trPr>
        <w:tc>
          <w:tcPr>
            <w:tcW w:w="120" w:type="dxa"/>
            <w:vAlign w:val="bottom"/>
            <w:tcBorders>
              <w:right w:val="single" w:sz="8" w:color="auto"/>
            </w:tcBorders>
          </w:tcPr>
          <w:p>
            <w:pPr>
              <w:spacing w:after="0"/>
              <w:rPr>
                <w:sz w:val="6"/>
                <w:szCs w:val="6"/>
                <w:color w:val="auto"/>
              </w:rPr>
            </w:pPr>
          </w:p>
        </w:tc>
        <w:tc>
          <w:tcPr>
            <w:tcW w:w="188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376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 Improved overall sustainability ratings over prior year</w:t>
            </w:r>
          </w:p>
        </w:tc>
        <w:tc>
          <w:tcPr>
            <w:tcW w:w="9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w w:val="98"/>
              </w:rPr>
              <w:t>Achieved</w:t>
            </w:r>
          </w:p>
        </w:tc>
      </w:tr>
    </w:tbl>
    <w:p>
      <w:pPr>
        <w:spacing w:after="0" w:line="222" w:lineRule="exact"/>
        <w:rPr>
          <w:sz w:val="20"/>
          <w:szCs w:val="20"/>
          <w:color w:val="auto"/>
        </w:rPr>
      </w:pPr>
    </w:p>
    <w:p>
      <w:pPr>
        <w:ind w:left="160" w:right="2380" w:hanging="154"/>
        <w:spacing w:after="0" w:line="245" w:lineRule="auto"/>
        <w:tabs>
          <w:tab w:leader="none" w:pos="149"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Enhanced compliance training and related communication</w:t>
      </w:r>
    </w:p>
    <w:p>
      <w:pPr>
        <w:spacing w:after="0" w:line="171" w:lineRule="exact"/>
        <w:rPr>
          <w:sz w:val="20"/>
          <w:szCs w:val="20"/>
          <w:color w:val="auto"/>
        </w:rPr>
      </w:pPr>
    </w:p>
    <w:p>
      <w:pPr>
        <w:sectPr>
          <w:pgSz w:w="11900" w:h="16838" w:orient="portrait"/>
          <w:cols w:equalWidth="0" w:num="2">
            <w:col w:w="5940" w:space="160"/>
            <w:col w:w="5260"/>
          </w:cols>
          <w:pgMar w:left="220" w:top="112" w:right="319" w:bottom="1440" w:gutter="0" w:footer="0" w:header="0"/>
          <w:type w:val="continuous"/>
        </w:sectPr>
      </w:pPr>
    </w:p>
    <w:tbl>
      <w:tblPr>
        <w:tblLayout w:type="fixed"/>
        <w:tblInd w:w="110" w:type="dxa"/>
        <w:tblCellMar>
          <w:top w:w="0" w:type="dxa"/>
          <w:left w:w="0" w:type="dxa"/>
          <w:bottom w:w="0" w:type="dxa"/>
          <w:right w:w="0" w:type="dxa"/>
        </w:tblCellMar>
      </w:tblPr>
      <w:tr>
        <w:trPr>
          <w:trHeight w:val="176"/>
        </w:trPr>
        <w:tc>
          <w:tcPr>
            <w:tcW w:w="1900" w:type="dxa"/>
            <w:vAlign w:val="bottom"/>
            <w:tcBorders>
              <w:top w:val="single" w:sz="8" w:color="auto"/>
              <w:left w:val="single" w:sz="8" w:color="auto"/>
              <w:right w:val="single" w:sz="8" w:color="auto"/>
            </w:tcBorders>
            <w:vMerge w:val="restart"/>
          </w:tcPr>
          <w:p>
            <w:pPr>
              <w:ind w:left="760"/>
              <w:spacing w:after="0"/>
              <w:rPr>
                <w:sz w:val="20"/>
                <w:szCs w:val="20"/>
                <w:color w:val="auto"/>
              </w:rPr>
            </w:pPr>
            <w:r>
              <w:rPr>
                <w:rFonts w:ascii="Times New Roman" w:cs="Times New Roman" w:eastAsia="Times New Roman" w:hAnsi="Times New Roman"/>
                <w:sz w:val="16"/>
                <w:szCs w:val="16"/>
                <w:b w:val="1"/>
                <w:bCs w:val="1"/>
                <w:color w:val="auto"/>
              </w:rPr>
              <w:t>Legal</w:t>
            </w:r>
          </w:p>
        </w:tc>
        <w:tc>
          <w:tcPr>
            <w:tcW w:w="4100" w:type="dxa"/>
            <w:vAlign w:val="bottom"/>
            <w:tcBorders>
              <w:top w:val="single" w:sz="8" w:color="auto"/>
              <w:right w:val="single" w:sz="8" w:color="auto"/>
            </w:tcBorders>
          </w:tcPr>
          <w:p>
            <w:pPr>
              <w:spacing w:after="0"/>
              <w:rPr>
                <w:sz w:val="15"/>
                <w:szCs w:val="15"/>
                <w:color w:val="auto"/>
              </w:rPr>
            </w:pPr>
          </w:p>
        </w:tc>
        <w:tc>
          <w:tcPr>
            <w:tcW w:w="3960" w:type="dxa"/>
            <w:vAlign w:val="bottom"/>
            <w:tcBorders>
              <w:top w:val="single" w:sz="8" w:color="auto"/>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Successfully resolved all patent litigation brought by us</w:t>
            </w:r>
          </w:p>
        </w:tc>
        <w:tc>
          <w:tcPr>
            <w:tcW w:w="13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Over Achieved</w:t>
            </w:r>
          </w:p>
        </w:tc>
        <w:tc>
          <w:tcPr>
            <w:tcW w:w="0" w:type="dxa"/>
            <w:vAlign w:val="bottom"/>
          </w:tcPr>
          <w:p>
            <w:pPr>
              <w:spacing w:after="0"/>
              <w:rPr>
                <w:sz w:val="1"/>
                <w:szCs w:val="1"/>
                <w:color w:val="auto"/>
              </w:rPr>
            </w:pPr>
          </w:p>
        </w:tc>
      </w:tr>
      <w:tr>
        <w:trPr>
          <w:trHeight w:val="189"/>
        </w:trPr>
        <w:tc>
          <w:tcPr>
            <w:tcW w:w="1900" w:type="dxa"/>
            <w:vAlign w:val="bottom"/>
            <w:tcBorders>
              <w:left w:val="single" w:sz="8" w:color="auto"/>
              <w:right w:val="single" w:sz="8" w:color="auto"/>
            </w:tcBorders>
            <w:vMerge w:val="continue"/>
          </w:tcPr>
          <w:p>
            <w:pPr>
              <w:spacing w:after="0"/>
              <w:rPr>
                <w:sz w:val="16"/>
                <w:szCs w:val="16"/>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Manage litigation matters to a positive outcome</w:t>
            </w:r>
          </w:p>
        </w:tc>
        <w:tc>
          <w:tcPr>
            <w:tcW w:w="3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against the companies seeking approval to market generic</w:t>
            </w:r>
          </w:p>
        </w:tc>
        <w:tc>
          <w:tcPr>
            <w:tcW w:w="13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00" w:type="dxa"/>
            <w:vAlign w:val="bottom"/>
            <w:tcBorders>
              <w:left w:val="single" w:sz="8" w:color="auto"/>
              <w:bottom w:val="single" w:sz="8" w:color="auto"/>
              <w:right w:val="single" w:sz="8" w:color="auto"/>
            </w:tcBorders>
          </w:tcPr>
          <w:p>
            <w:pPr>
              <w:spacing w:after="0"/>
              <w:rPr>
                <w:sz w:val="16"/>
                <w:szCs w:val="16"/>
                <w:color w:val="auto"/>
              </w:rPr>
            </w:pPr>
          </w:p>
        </w:tc>
        <w:tc>
          <w:tcPr>
            <w:tcW w:w="4100" w:type="dxa"/>
            <w:vAlign w:val="bottom"/>
            <w:tcBorders>
              <w:bottom w:val="single" w:sz="8" w:color="auto"/>
              <w:right w:val="single" w:sz="8" w:color="auto"/>
            </w:tcBorders>
          </w:tcPr>
          <w:p>
            <w:pPr>
              <w:spacing w:after="0"/>
              <w:rPr>
                <w:sz w:val="16"/>
                <w:szCs w:val="16"/>
                <w:color w:val="auto"/>
              </w:rPr>
            </w:pPr>
          </w:p>
        </w:tc>
        <w:tc>
          <w:tcPr>
            <w:tcW w:w="3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versions of INGREZZA</w:t>
            </w:r>
          </w:p>
        </w:tc>
        <w:tc>
          <w:tcPr>
            <w:tcW w:w="13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900" w:type="dxa"/>
            <w:vAlign w:val="bottom"/>
            <w:tcBorders>
              <w:bottom w:val="single" w:sz="8" w:color="2B5F51"/>
            </w:tcBorders>
          </w:tcPr>
          <w:p>
            <w:pPr>
              <w:spacing w:after="0"/>
              <w:rPr>
                <w:sz w:val="12"/>
                <w:szCs w:val="12"/>
                <w:color w:val="auto"/>
              </w:rPr>
            </w:pPr>
          </w:p>
        </w:tc>
        <w:tc>
          <w:tcPr>
            <w:tcW w:w="4100" w:type="dxa"/>
            <w:vAlign w:val="bottom"/>
            <w:tcBorders>
              <w:bottom w:val="single" w:sz="8" w:color="2B5F51"/>
            </w:tcBorders>
          </w:tcPr>
          <w:p>
            <w:pPr>
              <w:spacing w:after="0"/>
              <w:rPr>
                <w:sz w:val="12"/>
                <w:szCs w:val="12"/>
                <w:color w:val="auto"/>
              </w:rPr>
            </w:pPr>
          </w:p>
        </w:tc>
        <w:tc>
          <w:tcPr>
            <w:tcW w:w="3960" w:type="dxa"/>
            <w:vAlign w:val="bottom"/>
            <w:tcBorders>
              <w:bottom w:val="single" w:sz="8" w:color="2B5F51"/>
            </w:tcBorders>
          </w:tcPr>
          <w:p>
            <w:pPr>
              <w:spacing w:after="0"/>
              <w:rPr>
                <w:sz w:val="12"/>
                <w:szCs w:val="12"/>
                <w:color w:val="auto"/>
              </w:rPr>
            </w:pPr>
          </w:p>
        </w:tc>
        <w:tc>
          <w:tcPr>
            <w:tcW w:w="1300" w:type="dxa"/>
            <w:vAlign w:val="bottom"/>
            <w:tcBorders>
              <w:bottom w:val="single" w:sz="8" w:color="2B5F51"/>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900" w:type="dxa"/>
            <w:vAlign w:val="bottom"/>
            <w:tcBorders>
              <w:left w:val="single" w:sz="8" w:color="2B5F51"/>
              <w:bottom w:val="single" w:sz="8" w:color="2B5F51"/>
              <w:right w:val="single" w:sz="8" w:color="DBDBDB"/>
            </w:tcBorders>
            <w:shd w:val="clear" w:color="auto" w:fill="DBDBDB"/>
          </w:tcPr>
          <w:p>
            <w:pPr>
              <w:spacing w:after="0"/>
              <w:rPr>
                <w:sz w:val="18"/>
                <w:szCs w:val="18"/>
                <w:color w:val="auto"/>
              </w:rPr>
            </w:pPr>
          </w:p>
        </w:tc>
        <w:tc>
          <w:tcPr>
            <w:tcW w:w="4100" w:type="dxa"/>
            <w:vAlign w:val="bottom"/>
            <w:tcBorders>
              <w:bottom w:val="single" w:sz="8" w:color="2B5F51"/>
              <w:right w:val="single" w:sz="8" w:color="DBDBDB"/>
            </w:tcBorders>
            <w:shd w:val="clear" w:color="auto" w:fill="DBDBDB"/>
          </w:tcPr>
          <w:p>
            <w:pPr>
              <w:spacing w:after="0"/>
              <w:rPr>
                <w:sz w:val="18"/>
                <w:szCs w:val="18"/>
                <w:color w:val="auto"/>
              </w:rPr>
            </w:pPr>
          </w:p>
        </w:tc>
        <w:tc>
          <w:tcPr>
            <w:tcW w:w="3960" w:type="dxa"/>
            <w:vAlign w:val="bottom"/>
            <w:tcBorders>
              <w:bottom w:val="single" w:sz="8" w:color="2B5F51"/>
              <w:right w:val="single" w:sz="8" w:color="DBDBDB"/>
            </w:tcBorders>
            <w:shd w:val="clear" w:color="auto" w:fill="DBDBDB"/>
          </w:tcPr>
          <w:p>
            <w:pPr>
              <w:ind w:left="1740"/>
              <w:spacing w:after="0"/>
              <w:rPr>
                <w:sz w:val="20"/>
                <w:szCs w:val="20"/>
                <w:color w:val="auto"/>
              </w:rPr>
            </w:pPr>
            <w:r>
              <w:rPr>
                <w:rFonts w:ascii="Times New Roman" w:cs="Times New Roman" w:eastAsia="Times New Roman" w:hAnsi="Times New Roman"/>
                <w:sz w:val="16"/>
                <w:szCs w:val="16"/>
                <w:b w:val="1"/>
                <w:bCs w:val="1"/>
                <w:color w:val="274E3F"/>
              </w:rPr>
              <w:t>Overall Achievement:</w:t>
            </w:r>
          </w:p>
        </w:tc>
        <w:tc>
          <w:tcPr>
            <w:tcW w:w="1300" w:type="dxa"/>
            <w:vAlign w:val="bottom"/>
            <w:tcBorders>
              <w:bottom w:val="single" w:sz="8" w:color="2B5F51"/>
              <w:right w:val="single" w:sz="8" w:color="2B5F51"/>
            </w:tcBorders>
            <w:shd w:val="clear" w:color="auto" w:fill="DBDBDB"/>
          </w:tcPr>
          <w:p>
            <w:pPr>
              <w:jc w:val="right"/>
              <w:ind w:right="399"/>
              <w:spacing w:after="0"/>
              <w:rPr>
                <w:sz w:val="20"/>
                <w:szCs w:val="20"/>
                <w:color w:val="auto"/>
              </w:rPr>
            </w:pPr>
            <w:r>
              <w:rPr>
                <w:rFonts w:ascii="Times New Roman" w:cs="Times New Roman" w:eastAsia="Times New Roman" w:hAnsi="Times New Roman"/>
                <w:sz w:val="16"/>
                <w:szCs w:val="16"/>
                <w:b w:val="1"/>
                <w:bCs w:val="1"/>
                <w:color w:val="274E3F"/>
              </w:rPr>
              <w:t>110%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80" w:right="320" w:hanging="572"/>
        <w:spacing w:after="0" w:line="232" w:lineRule="auto"/>
        <w:tabs>
          <w:tab w:leader="none" w:pos="388"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Although the enrollment goals associated with the Phase 2 and Phase 3 Clinical Pipeline were partially achieved, the Committee considered the reporting of top-line data in two Phase 3 studies in CAH to be the most impactful to the Company and the long-term benefit of stockholders and this specific goal was deemed to be “Over Achieved”.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55880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60"/>
          </w:cols>
          <w:pgMar w:left="220" w:top="112" w:right="31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Notwithstanding the Committee’s determination of our 2023 corporate goal achievement at 110%, the Committee had discretion to eliminate any</w:t>
      </w:r>
    </w:p>
    <w:p>
      <w:pPr>
        <w:spacing w:after="0" w:line="2" w:lineRule="exact"/>
        <w:rPr>
          <w:sz w:val="20"/>
          <w:szCs w:val="20"/>
          <w:color w:val="auto"/>
        </w:rPr>
      </w:pPr>
    </w:p>
    <w:p>
      <w:pPr>
        <w:jc w:val="both"/>
        <w:ind w:right="120"/>
        <w:spacing w:after="0" w:line="220" w:lineRule="auto"/>
        <w:rPr>
          <w:sz w:val="20"/>
          <w:szCs w:val="20"/>
          <w:color w:val="auto"/>
        </w:rPr>
      </w:pPr>
      <w:r>
        <w:rPr>
          <w:rFonts w:ascii="Times New Roman" w:cs="Times New Roman" w:eastAsia="Times New Roman" w:hAnsi="Times New Roman"/>
          <w:sz w:val="17"/>
          <w:szCs w:val="17"/>
          <w:color w:val="auto"/>
        </w:rPr>
        <w:t>NEO’s bonus or to reduce or increase the amount of any NEO’s bonus payout amount. However, our CEO's bonus payment cannot be increased above the corporate goal achievement level for the Company. In February 2024, the Committee determined whether to exercise its discretion to increase or decrease the bonus payout amount for each NEO after considering their individual performance contributing to achievement of our corporate goals. Following such</w:t>
      </w:r>
    </w:p>
    <w:p>
      <w:pPr>
        <w:spacing w:after="0" w:line="2"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17"/>
          <w:szCs w:val="17"/>
          <w:color w:val="auto"/>
        </w:rPr>
        <w:t>review, Dr. Roberts was awarded an increased bonus payout amount in recognition of her success in advancing and expanding our clinical development programs, including the generation of positive top-line data from the Phase 3 clinical studies of crinecerfont in adults and pediatrics with CAH.</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After making these determinations, the Committee approved the bonus payout amounts set forth in the table below.</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2023 Target Bonus</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gridSpan w:val="3"/>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 Actual Bonus Paid</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880" w:type="dxa"/>
            <w:vAlign w:val="bottom"/>
            <w:gridSpan w:val="3"/>
          </w:tcPr>
          <w:p>
            <w:pPr>
              <w:jc w:val="center"/>
              <w:ind w:right="620"/>
              <w:spacing w:after="0" w:line="129" w:lineRule="exact"/>
              <w:rPr>
                <w:sz w:val="20"/>
                <w:szCs w:val="20"/>
                <w:color w:val="auto"/>
              </w:rPr>
            </w:pPr>
            <w:r>
              <w:rPr>
                <w:rFonts w:ascii="Times New Roman" w:cs="Times New Roman" w:eastAsia="Times New Roman" w:hAnsi="Times New Roman"/>
                <w:sz w:val="14"/>
                <w:szCs w:val="14"/>
                <w:b w:val="1"/>
                <w:bCs w:val="1"/>
                <w:color w:val="auto"/>
              </w:rPr>
              <w:t>% of Base</w:t>
            </w:r>
          </w:p>
        </w:tc>
        <w:tc>
          <w:tcPr>
            <w:tcW w:w="720" w:type="dxa"/>
            <w:vAlign w:val="bottom"/>
            <w:vMerge w:val="restart"/>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1"/>
                <w:szCs w:val="11"/>
                <w:color w:val="auto"/>
              </w:rPr>
            </w:pPr>
          </w:p>
        </w:tc>
        <w:tc>
          <w:tcPr>
            <w:tcW w:w="134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w w:val="98"/>
              </w:rPr>
              <w:t>% of Target</w:t>
            </w:r>
          </w:p>
        </w:tc>
        <w:tc>
          <w:tcPr>
            <w:tcW w:w="1240" w:type="dxa"/>
            <w:vAlign w:val="bottom"/>
            <w:vMerge w:val="restart"/>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5940" w:type="dxa"/>
            <w:vAlign w:val="bottom"/>
            <w:gridSpan w:val="2"/>
            <w:vMerge w:val="continue"/>
          </w:tcPr>
          <w:p>
            <w:pPr>
              <w:spacing w:after="0"/>
              <w:rPr>
                <w:sz w:val="17"/>
                <w:szCs w:val="17"/>
                <w:color w:val="auto"/>
              </w:rPr>
            </w:pPr>
          </w:p>
        </w:tc>
        <w:tc>
          <w:tcPr>
            <w:tcW w:w="188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Kevin C. Gorman, Ph.D.</w:t>
            </w:r>
          </w:p>
        </w:tc>
        <w:tc>
          <w:tcPr>
            <w:tcW w:w="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$946,000</w:t>
            </w: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$1,040,600</w:t>
            </w:r>
          </w:p>
        </w:tc>
        <w:tc>
          <w:tcPr>
            <w:tcW w:w="0" w:type="dxa"/>
            <w:vAlign w:val="bottom"/>
          </w:tcPr>
          <w:p>
            <w:pPr>
              <w:spacing w:after="0"/>
              <w:rPr>
                <w:sz w:val="1"/>
                <w:szCs w:val="1"/>
                <w:color w:val="auto"/>
              </w:rPr>
            </w:pPr>
          </w:p>
        </w:tc>
      </w:tr>
      <w:tr>
        <w:trPr>
          <w:trHeight w:val="213"/>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Matthew C. Abernethy</w:t>
            </w: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$323,030</w:t>
            </w:r>
          </w:p>
        </w:tc>
        <w:tc>
          <w:tcPr>
            <w:tcW w:w="80" w:type="dxa"/>
            <w:vAlign w:val="bottom"/>
          </w:tcPr>
          <w:p>
            <w:pPr>
              <w:spacing w:after="0"/>
              <w:rPr>
                <w:sz w:val="18"/>
                <w:szCs w:val="18"/>
                <w:color w:val="auto"/>
              </w:rPr>
            </w:pP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$355,335</w:t>
            </w:r>
          </w:p>
        </w:tc>
        <w:tc>
          <w:tcPr>
            <w:tcW w:w="0" w:type="dxa"/>
            <w:vAlign w:val="bottom"/>
          </w:tcPr>
          <w:p>
            <w:pPr>
              <w:spacing w:after="0"/>
              <w:rPr>
                <w:sz w:val="1"/>
                <w:szCs w:val="1"/>
                <w:color w:val="auto"/>
              </w:rPr>
            </w:pPr>
          </w:p>
        </w:tc>
      </w:tr>
      <w:tr>
        <w:trPr>
          <w:trHeight w:val="219"/>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Kyle W. Gano, Ph.D.</w:t>
            </w: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$301,456</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$331,602</w:t>
            </w:r>
          </w:p>
        </w:tc>
        <w:tc>
          <w:tcPr>
            <w:tcW w:w="0" w:type="dxa"/>
            <w:vAlign w:val="bottom"/>
          </w:tcPr>
          <w:p>
            <w:pPr>
              <w:spacing w:after="0"/>
              <w:rPr>
                <w:sz w:val="1"/>
                <w:szCs w:val="1"/>
                <w:color w:val="auto"/>
              </w:rPr>
            </w:pPr>
          </w:p>
        </w:tc>
      </w:tr>
      <w:tr>
        <w:trPr>
          <w:trHeight w:val="213"/>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Jude Onyia, Ph.D.</w:t>
            </w: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$319,125</w:t>
            </w:r>
          </w:p>
        </w:tc>
        <w:tc>
          <w:tcPr>
            <w:tcW w:w="80" w:type="dxa"/>
            <w:vAlign w:val="bottom"/>
          </w:tcPr>
          <w:p>
            <w:pPr>
              <w:spacing w:after="0"/>
              <w:rPr>
                <w:sz w:val="18"/>
                <w:szCs w:val="18"/>
                <w:color w:val="auto"/>
              </w:rPr>
            </w:pP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$351,038</w:t>
            </w:r>
          </w:p>
        </w:tc>
        <w:tc>
          <w:tcPr>
            <w:tcW w:w="0" w:type="dxa"/>
            <w:vAlign w:val="bottom"/>
          </w:tcPr>
          <w:p>
            <w:pPr>
              <w:spacing w:after="0"/>
              <w:rPr>
                <w:sz w:val="1"/>
                <w:szCs w:val="1"/>
                <w:color w:val="auto"/>
              </w:rPr>
            </w:pPr>
          </w:p>
        </w:tc>
      </w:tr>
      <w:tr>
        <w:trPr>
          <w:trHeight w:val="219"/>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Eiry W. Roberts, M.D.</w:t>
            </w: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$330,174</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$399,511</w:t>
            </w: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Long-Term Equity Awards</w:t>
      </w:r>
    </w:p>
    <w:p>
      <w:pPr>
        <w:spacing w:after="0" w:line="200" w:lineRule="exact"/>
        <w:rPr>
          <w:sz w:val="20"/>
          <w:szCs w:val="20"/>
          <w:color w:val="auto"/>
        </w:rPr>
      </w:pPr>
    </w:p>
    <w:p>
      <w:pPr>
        <w:ind w:right="40" w:firstLine="551"/>
        <w:spacing w:after="0" w:line="229" w:lineRule="auto"/>
        <w:rPr>
          <w:sz w:val="20"/>
          <w:szCs w:val="20"/>
          <w:color w:val="auto"/>
        </w:rPr>
      </w:pPr>
      <w:r>
        <w:rPr>
          <w:rFonts w:ascii="Times New Roman" w:cs="Times New Roman" w:eastAsia="Times New Roman" w:hAnsi="Times New Roman"/>
          <w:sz w:val="17"/>
          <w:szCs w:val="17"/>
          <w:i w:val="1"/>
          <w:iCs w:val="1"/>
          <w:color w:val="auto"/>
        </w:rPr>
        <w:t>2023 Equity Award Mix</w:t>
      </w:r>
      <w:r>
        <w:rPr>
          <w:rFonts w:ascii="Times New Roman" w:cs="Times New Roman" w:eastAsia="Times New Roman" w:hAnsi="Times New Roman"/>
          <w:sz w:val="17"/>
          <w:szCs w:val="17"/>
          <w:color w:val="auto"/>
        </w:rPr>
        <w:t>. In 2023, the Committee granted long-term equity awards to our NEOs in the form of stock options, RSUs and PRSUs after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determining that these three types of equity awards continued to provide the appropriate balance of long-term and performance-based incentives for our executive officers. The Committee generally maintained the overall value of the equity awards provided to the NEOs, with the exception of Dr. Gorman,</w:t>
      </w:r>
    </w:p>
    <w:p>
      <w:pPr>
        <w:spacing w:after="0" w:line="2" w:lineRule="exact"/>
        <w:rPr>
          <w:sz w:val="20"/>
          <w:szCs w:val="20"/>
          <w:color w:val="auto"/>
        </w:rPr>
      </w:pPr>
    </w:p>
    <w:p>
      <w:pPr>
        <w:ind w:right="80"/>
        <w:spacing w:after="0" w:line="207" w:lineRule="auto"/>
        <w:rPr>
          <w:sz w:val="20"/>
          <w:szCs w:val="20"/>
          <w:color w:val="auto"/>
        </w:rPr>
      </w:pPr>
      <w:r>
        <w:rPr>
          <w:rFonts w:ascii="Times New Roman" w:cs="Times New Roman" w:eastAsia="Times New Roman" w:hAnsi="Times New Roman"/>
          <w:sz w:val="18"/>
          <w:szCs w:val="18"/>
          <w:color w:val="auto"/>
        </w:rPr>
        <w:t>and continued to place emphasis on performance-based incentives that align our NEOs’ financial interests with those of our stockholders. For Dr. Gorman, the Committee altered the mix of equity awards in 2023 to slightly decrease the amount of RSUs and PRSUs and increase the amount of stock options to further tie incentive compensation to the appreciation of our common stock and long-term stockholder value creation. For Dr. Gorman, the Committee allocated approximately 50% of the aggregate value of Dr. Gorman's long-term equity awards in the form of stock options, 35% of such value in the form</w:t>
      </w:r>
    </w:p>
    <w:p>
      <w:pPr>
        <w:spacing w:after="0" w:line="1"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of PRSUs and approximately 15% of such value in the form of RSUs. The 35% allocation of Dr. Gorman’s long-term equity awards to PRSUs is consistent with other companies in the Company’s peer group. For the NEOs, other than Dr. Gorman, the Committee decided to generally allocate approximately 55-65% of the aggregate value of each NEO’s long-term equity awards in the form of stock options, 15-25% of such value in the form of PRSUs and 15-20%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value in the form of RSUs, primarily based on each NEO’s expected impact on the achievement of the performance metrics underlying the PRSUs.</w:t>
      </w:r>
    </w:p>
    <w:p>
      <w:pPr>
        <w:spacing w:after="0" w:line="1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Size of 2023 Equity Awards</w:t>
      </w:r>
      <w:r>
        <w:rPr>
          <w:rFonts w:ascii="Times New Roman" w:cs="Times New Roman" w:eastAsia="Times New Roman" w:hAnsi="Times New Roman"/>
          <w:sz w:val="18"/>
          <w:szCs w:val="18"/>
          <w:color w:val="auto"/>
        </w:rPr>
        <w:t>. In determining the size of the total equity compensation opportunity in 2023, the Committee:</w:t>
      </w:r>
    </w:p>
    <w:p>
      <w:pPr>
        <w:spacing w:after="0" w:line="187" w:lineRule="exact"/>
        <w:rPr>
          <w:sz w:val="20"/>
          <w:szCs w:val="20"/>
          <w:color w:val="auto"/>
        </w:rPr>
      </w:pPr>
    </w:p>
    <w:p>
      <w:pPr>
        <w:ind w:left="1100" w:right="100" w:hanging="314"/>
        <w:spacing w:after="0" w:line="245" w:lineRule="auto"/>
        <w:tabs>
          <w:tab w:leader="none" w:pos="10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aimed to have the aggregate target award value result in target total direct compensation at a level that is competitive in the marketplaces in which we compete;</w:t>
      </w:r>
    </w:p>
    <w:p>
      <w:pPr>
        <w:ind w:left="1100" w:right="20" w:hanging="314"/>
        <w:spacing w:after="0" w:line="229" w:lineRule="auto"/>
        <w:tabs>
          <w:tab w:leader="none" w:pos="10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focused a larger portion of total direct compensation in the form of long-term performance equity awards which only vest upon achievement of the specific, objective criteria described below, which if achieved, the Committee believes will drive long-term differentiated value relative to our peers and maximize long-term stockholder value; and</w:t>
      </w:r>
    </w:p>
    <w:p>
      <w:pPr>
        <w:spacing w:after="0" w:line="1" w:lineRule="exact"/>
        <w:rPr>
          <w:rFonts w:ascii="Times New Roman" w:cs="Times New Roman" w:eastAsia="Times New Roman" w:hAnsi="Times New Roman"/>
          <w:sz w:val="18"/>
          <w:szCs w:val="18"/>
          <w:color w:val="auto"/>
        </w:rPr>
      </w:pPr>
    </w:p>
    <w:p>
      <w:pPr>
        <w:ind w:left="1100" w:hanging="314"/>
        <w:spacing w:after="0"/>
        <w:tabs>
          <w:tab w:leader="none" w:pos="11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the recommendations of Dr. Gorman for the other NEOs.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annual 2023 long-term equity awards for the NEOs: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20" w:type="dxa"/>
            <w:vAlign w:val="bottom"/>
          </w:tcPr>
          <w:p>
            <w:pPr>
              <w:spacing w:after="0"/>
              <w:rPr>
                <w:sz w:val="16"/>
                <w:szCs w:val="16"/>
                <w:color w:val="auto"/>
              </w:rPr>
            </w:pPr>
          </w:p>
        </w:tc>
        <w:tc>
          <w:tcPr>
            <w:tcW w:w="108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w w:val="95"/>
              </w:rPr>
              <w:t>PRSUs</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00" w:type="dxa"/>
            <w:vAlign w:val="bottom"/>
          </w:tcPr>
          <w:p>
            <w:pPr>
              <w:spacing w:after="0"/>
              <w:rPr>
                <w:sz w:val="11"/>
                <w:szCs w:val="11"/>
                <w:color w:val="auto"/>
              </w:rPr>
            </w:pPr>
          </w:p>
        </w:tc>
        <w:tc>
          <w:tcPr>
            <w:tcW w:w="840" w:type="dxa"/>
            <w:vAlign w:val="bottom"/>
            <w:vMerge w:val="restart"/>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b w:val="1"/>
                <w:bCs w:val="1"/>
                <w:color w:val="auto"/>
                <w:vertAlign w:val="superscript"/>
              </w:rPr>
              <w:t>*</w:t>
            </w:r>
          </w:p>
        </w:tc>
        <w:tc>
          <w:tcPr>
            <w:tcW w:w="80" w:type="dxa"/>
            <w:vAlign w:val="bottom"/>
          </w:tcPr>
          <w:p>
            <w:pPr>
              <w:spacing w:after="0"/>
              <w:rPr>
                <w:sz w:val="11"/>
                <w:szCs w:val="11"/>
                <w:color w:val="auto"/>
              </w:rPr>
            </w:pP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of Shares</w:t>
            </w:r>
          </w:p>
        </w:tc>
        <w:tc>
          <w:tcPr>
            <w:tcW w:w="220" w:type="dxa"/>
            <w:vAlign w:val="bottom"/>
          </w:tcPr>
          <w:p>
            <w:pPr>
              <w:spacing w:after="0"/>
              <w:rPr>
                <w:sz w:val="11"/>
                <w:szCs w:val="11"/>
                <w:color w:val="auto"/>
              </w:rPr>
            </w:pPr>
          </w:p>
        </w:tc>
        <w:tc>
          <w:tcPr>
            <w:tcW w:w="840" w:type="dxa"/>
            <w:vAlign w:val="bottom"/>
            <w:vMerge w:val="restart"/>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b w:val="1"/>
                <w:bCs w:val="1"/>
                <w:color w:val="auto"/>
                <w:vertAlign w:val="superscript"/>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of Shares</w:t>
            </w:r>
          </w:p>
        </w:tc>
        <w:tc>
          <w:tcPr>
            <w:tcW w:w="220" w:type="dxa"/>
            <w:vAlign w:val="bottom"/>
          </w:tcPr>
          <w:p>
            <w:pPr>
              <w:spacing w:after="0"/>
              <w:rPr>
                <w:sz w:val="11"/>
                <w:szCs w:val="11"/>
                <w:color w:val="auto"/>
              </w:rPr>
            </w:pPr>
          </w:p>
        </w:tc>
        <w:tc>
          <w:tcPr>
            <w:tcW w:w="840" w:type="dxa"/>
            <w:vAlign w:val="bottom"/>
            <w:vMerge w:val="restart"/>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b w:val="1"/>
                <w:bCs w:val="1"/>
                <w:color w:val="auto"/>
                <w:vertAlign w:val="superscript"/>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ind w:right="82"/>
              <w:spacing w:after="0" w:line="129" w:lineRule="exact"/>
              <w:rPr>
                <w:sz w:val="20"/>
                <w:szCs w:val="20"/>
                <w:color w:val="auto"/>
              </w:rPr>
            </w:pPr>
            <w:r>
              <w:rPr>
                <w:rFonts w:ascii="Times New Roman" w:cs="Times New Roman" w:eastAsia="Times New Roman" w:hAnsi="Times New Roman"/>
                <w:sz w:val="14"/>
                <w:szCs w:val="14"/>
                <w:b w:val="1"/>
                <w:bCs w:val="1"/>
                <w:color w:val="auto"/>
              </w:rPr>
              <w:t># of Shares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Total ($</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35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Kevin C. Gorman, Ph.D.</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6,678,750</w:t>
            </w: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133,656</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2,226,250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21,506</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4,795,000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50,979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13,700,000</w:t>
            </w:r>
          </w:p>
        </w:tc>
        <w:tc>
          <w:tcPr>
            <w:tcW w:w="0" w:type="dxa"/>
            <w:vAlign w:val="bottom"/>
          </w:tcPr>
          <w:p>
            <w:pPr>
              <w:spacing w:after="0"/>
              <w:rPr>
                <w:sz w:val="1"/>
                <w:szCs w:val="1"/>
                <w:color w:val="auto"/>
              </w:rPr>
            </w:pPr>
          </w:p>
        </w:tc>
      </w:tr>
      <w:tr>
        <w:trPr>
          <w:trHeight w:val="213"/>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Matthew C. Abernethy</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3,187,500</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63,789</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1,062,500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10,264</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750,000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0" w:type="dxa"/>
            <w:vAlign w:val="bottom"/>
          </w:tcPr>
          <w:p>
            <w:pPr>
              <w:spacing w:after="0"/>
              <w:rPr>
                <w:sz w:val="1"/>
                <w:szCs w:val="1"/>
                <w:color w:val="auto"/>
              </w:rPr>
            </w:pPr>
          </w:p>
        </w:tc>
      </w:tr>
      <w:tr>
        <w:trPr>
          <w:trHeight w:val="219"/>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Kyle W. Gano, Ph.D.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3,187,500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63,789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1,062,500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750,000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0" w:type="dxa"/>
            <w:vAlign w:val="bottom"/>
          </w:tcPr>
          <w:p>
            <w:pPr>
              <w:spacing w:after="0"/>
              <w:rPr>
                <w:sz w:val="1"/>
                <w:szCs w:val="1"/>
                <w:color w:val="auto"/>
              </w:rPr>
            </w:pPr>
          </w:p>
        </w:tc>
      </w:tr>
      <w:tr>
        <w:trPr>
          <w:trHeight w:val="213"/>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Jude Onyia, Ph.D.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3,375,000</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67,541</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10,868</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1,500,000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6,000,000</w:t>
            </w:r>
          </w:p>
        </w:tc>
        <w:tc>
          <w:tcPr>
            <w:tcW w:w="0" w:type="dxa"/>
            <w:vAlign w:val="bottom"/>
          </w:tcPr>
          <w:p>
            <w:pPr>
              <w:spacing w:after="0"/>
              <w:rPr>
                <w:sz w:val="1"/>
                <w:szCs w:val="1"/>
                <w:color w:val="auto"/>
              </w:rPr>
            </w:pPr>
          </w:p>
        </w:tc>
      </w:tr>
      <w:tr>
        <w:trPr>
          <w:trHeight w:val="219"/>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Eiry W. Roberts, M.D.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2,625,000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1,250,000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6" w:lineRule="exact"/>
        <w:rPr>
          <w:sz w:val="20"/>
          <w:szCs w:val="20"/>
          <w:color w:val="auto"/>
        </w:rPr>
      </w:pPr>
    </w:p>
    <w:p>
      <w:pPr>
        <w:ind w:left="580" w:right="160" w:hanging="572"/>
        <w:spacing w:after="0" w:line="234" w:lineRule="auto"/>
        <w:tabs>
          <w:tab w:leader="none" w:pos="229"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target grant date fair value of the awards approved by the Compensation. The Committee approved the PRSU award values in February 2023, but the PRSUs were granted in May 2023 following Committee approval of performance metrics and vesting requirements for these awards. See the Summary Compensation Table and the Grants of Plan-Based Awards Table included in this Proxy Statement for the actual grant date fair value of such awards.</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2023 Equity Award Vesting Criteria</w:t>
      </w:r>
      <w:r>
        <w:rPr>
          <w:rFonts w:ascii="Times New Roman" w:cs="Times New Roman" w:eastAsia="Times New Roman" w:hAnsi="Times New Roman"/>
          <w:sz w:val="18"/>
          <w:szCs w:val="18"/>
          <w:color w:val="auto"/>
        </w:rPr>
        <w:t>. The Committee determined that the 2023 equity grants vest as follows: (i) the stock options vest in equal</w:t>
      </w:r>
    </w:p>
    <w:p>
      <w:pPr>
        <w:spacing w:after="0" w:line="4"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monthly installments over a four-year period; (ii) the RSUs vest in equal annual installments over a four-year period; and (iii) the PRSUs vest on the date, or dates, that the Committee determines achievement of two underlying performance metrics, each of which must occur by the end of a three-year performance period ending on December 31, 2025. The metrics underlying the PRSUs target certain regulatory milestones and the advancement of certain</w:t>
      </w:r>
    </w:p>
    <w:p>
      <w:pPr>
        <w:spacing w:after="0" w:line="2" w:lineRule="exact"/>
        <w:rPr>
          <w:sz w:val="20"/>
          <w:szCs w:val="20"/>
          <w:color w:val="auto"/>
        </w:rPr>
      </w:pPr>
    </w:p>
    <w:p>
      <w:pPr>
        <w:ind w:right="240"/>
        <w:spacing w:after="0" w:line="220" w:lineRule="auto"/>
        <w:rPr>
          <w:sz w:val="20"/>
          <w:szCs w:val="20"/>
          <w:color w:val="auto"/>
        </w:rPr>
      </w:pPr>
      <w:r>
        <w:rPr>
          <w:rFonts w:ascii="Times New Roman" w:cs="Times New Roman" w:eastAsia="Times New Roman" w:hAnsi="Times New Roman"/>
          <w:sz w:val="17"/>
          <w:szCs w:val="17"/>
          <w:color w:val="auto"/>
        </w:rPr>
        <w:t>clinical programs, including advancing our late-stage clinical pipeline, that we believe will drive stockholder value within the three-year performance period ending on December 31, 2025. The actual number of earned units subject to the PRSUs will be determined based on the level of achievement of such metrics, with minimum, target, upside, and maximum levels specified in the Grants of Plan-Based Awards During the Fiscal Year Ended December</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31, 2023 table. The Committee set the specific performance targets underlying each performance metric at challenging levels that the Committee determined would require substantial effort to be achieved. We believe disclosing the specific performance targets while the performance period is ongoing could cause competitive harm, as providing this information could provide competitors with insights in our strategy and clinical development programs that</w:t>
      </w:r>
    </w:p>
    <w:p>
      <w:pPr>
        <w:spacing w:after="0" w:line="2"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would be harmful to us. However, we will disclose the specific performance targets in 2026 following the Committee’s determination of performance and certification.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Year PRSUs Performance</w:t>
      </w:r>
    </w:p>
    <w:p>
      <w:pPr>
        <w:spacing w:after="0" w:line="227" w:lineRule="exact"/>
        <w:rPr>
          <w:sz w:val="20"/>
          <w:szCs w:val="20"/>
          <w:color w:val="auto"/>
        </w:rPr>
      </w:pPr>
    </w:p>
    <w:p>
      <w:pPr>
        <w:ind w:right="20" w:firstLine="551"/>
        <w:spacing w:after="0" w:line="226" w:lineRule="auto"/>
        <w:rPr>
          <w:sz w:val="20"/>
          <w:szCs w:val="20"/>
          <w:color w:val="auto"/>
        </w:rPr>
      </w:pPr>
      <w:r>
        <w:rPr>
          <w:rFonts w:ascii="Times New Roman" w:cs="Times New Roman" w:eastAsia="Times New Roman" w:hAnsi="Times New Roman"/>
          <w:sz w:val="17"/>
          <w:szCs w:val="17"/>
          <w:i w:val="1"/>
          <w:iCs w:val="1"/>
          <w:color w:val="auto"/>
        </w:rPr>
        <w:t xml:space="preserve">2021 PRSUs. </w:t>
      </w:r>
      <w:r>
        <w:rPr>
          <w:rFonts w:ascii="Times New Roman" w:cs="Times New Roman" w:eastAsia="Times New Roman" w:hAnsi="Times New Roman"/>
          <w:sz w:val="17"/>
          <w:szCs w:val="17"/>
          <w:color w:val="auto"/>
        </w:rPr>
        <w:t>In February 2021, the Company granted PRSUs to the NEOs, except for Dr. Onyia who received his PRSU grant in November 2021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connection with his new hire employment package, with a performance condition based on the Company's achievement of certain clinical and regulatory outcomes for both adult and adolescent studies of crinecerfont for the treatment of CAH within the 27-month performance period commencing on January 1, 2021 and ending on March 31, 2023 (the “2021 PRSUs”). The Committee believed achievement of this performance metric would substantially increase</w:t>
      </w:r>
    </w:p>
    <w:p>
      <w:pPr>
        <w:spacing w:after="0" w:line="1" w:lineRule="exact"/>
        <w:rPr>
          <w:sz w:val="20"/>
          <w:szCs w:val="20"/>
          <w:color w:val="auto"/>
        </w:rPr>
      </w:pPr>
    </w:p>
    <w:p>
      <w:pPr>
        <w:ind w:right="820"/>
        <w:spacing w:after="0" w:line="226" w:lineRule="auto"/>
        <w:rPr>
          <w:sz w:val="20"/>
          <w:szCs w:val="20"/>
          <w:color w:val="auto"/>
        </w:rPr>
      </w:pPr>
      <w:r>
        <w:rPr>
          <w:rFonts w:ascii="Times New Roman" w:cs="Times New Roman" w:eastAsia="Times New Roman" w:hAnsi="Times New Roman"/>
          <w:sz w:val="18"/>
          <w:szCs w:val="18"/>
          <w:color w:val="auto"/>
        </w:rPr>
        <w:t>stockholder value. The specific performance conditions underlying the 2021 PRSUs, as well as payout levels at minimum, target, and maximum achievement are set forth in the following table:</w:t>
      </w:r>
    </w:p>
    <w:p>
      <w:pPr>
        <w:sectPr>
          <w:pgSz w:w="11900" w:h="16838" w:orient="portrait"/>
          <w:cols w:equalWidth="0" w:num="1">
            <w:col w:w="11220"/>
          </w:cols>
          <w:pgMar w:left="320" w:top="112" w:right="359" w:bottom="1440" w:gutter="0" w:footer="0" w:header="0"/>
        </w:sectPr>
      </w:pPr>
    </w:p>
    <w:p>
      <w:pPr>
        <w:spacing w:after="0" w:line="21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6"/>
          <w:szCs w:val="16"/>
          <w:b w:val="1"/>
          <w:bCs w:val="1"/>
          <w:color w:val="auto"/>
        </w:rPr>
        <w:t>Achievement</w:t>
      </w:r>
    </w:p>
    <w:p>
      <w:pPr>
        <w:jc w:val="center"/>
        <w:ind w:left="500"/>
        <w:spacing w:after="0"/>
        <w:rPr>
          <w:sz w:val="20"/>
          <w:szCs w:val="20"/>
          <w:color w:val="auto"/>
        </w:rPr>
      </w:pPr>
      <w:r>
        <w:rPr>
          <w:rFonts w:ascii="Times New Roman" w:cs="Times New Roman" w:eastAsia="Times New Roman" w:hAnsi="Times New Roman"/>
          <w:sz w:val="16"/>
          <w:szCs w:val="16"/>
          <w:b w:val="1"/>
          <w:bCs w:val="1"/>
          <w:color w:val="auto"/>
        </w:rPr>
        <w:t>Level</w:t>
      </w:r>
    </w:p>
    <w:p>
      <w:pPr>
        <w:spacing w:after="0" w:line="10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6"/>
          <w:szCs w:val="16"/>
          <w:color w:val="auto"/>
        </w:rPr>
        <w:t>Minimum</w:t>
      </w:r>
    </w:p>
    <w:p>
      <w:pPr>
        <w:spacing w:after="0" w:line="19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Target</w:t>
      </w:r>
    </w:p>
    <w:p>
      <w:pPr>
        <w:spacing w:after="0" w:line="27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Max</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Performance</w:t>
      </w:r>
    </w:p>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-1251585</wp:posOffset>
            </wp:positionH>
            <wp:positionV relativeFrom="paragraph">
              <wp:posOffset>8890</wp:posOffset>
            </wp:positionV>
            <wp:extent cx="7132320" cy="2489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Positive Phase 3 data in both adult and adolescent studies of crinecerfont for the treatment of CAH.</w:t>
      </w:r>
    </w:p>
    <w:p>
      <w:pPr>
        <w:spacing w:after="0" w:line="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Positive Phase 3 data in both adult and adolescent studies of crinecerfont for the treatment of CAH and submission of an NDA to the FDA for either the adolescent or adult indication.</w:t>
      </w:r>
    </w:p>
    <w:p>
      <w:pPr>
        <w:spacing w:after="0" w:line="2"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6"/>
          <w:szCs w:val="16"/>
          <w:color w:val="auto"/>
        </w:rPr>
        <w:t>Positive Phase 3 data in both adult and adolescent studies of crinecerfont for the treatment of CAH and submission of two NDAs to the FDA, one for each of the adolescent and adult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-1251585</wp:posOffset>
            </wp:positionH>
            <wp:positionV relativeFrom="paragraph">
              <wp:posOffset>-337820</wp:posOffset>
            </wp:positionV>
            <wp:extent cx="7132320" cy="3429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Payout Level</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(as a % of target)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CEO &amp; Chief Medical Officer: 75%</w:t>
      </w:r>
    </w:p>
    <w:p>
      <w:pPr>
        <w:spacing w:after="0"/>
        <w:rPr>
          <w:sz w:val="20"/>
          <w:szCs w:val="20"/>
          <w:color w:val="auto"/>
        </w:rPr>
      </w:pPr>
      <w:r>
        <w:rPr>
          <w:rFonts w:ascii="Times New Roman" w:cs="Times New Roman" w:eastAsia="Times New Roman" w:hAnsi="Times New Roman"/>
          <w:sz w:val="16"/>
          <w:szCs w:val="16"/>
          <w:color w:val="auto"/>
        </w:rPr>
        <w:t>Other NEOs: 67%</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CEO &amp; Chief Medical Officer: 100%</w:t>
      </w:r>
    </w:p>
    <w:p>
      <w:pPr>
        <w:spacing w:after="0"/>
        <w:rPr>
          <w:sz w:val="20"/>
          <w:szCs w:val="20"/>
          <w:color w:val="auto"/>
        </w:rPr>
      </w:pPr>
      <w:r>
        <w:rPr>
          <w:rFonts w:ascii="Times New Roman" w:cs="Times New Roman" w:eastAsia="Times New Roman" w:hAnsi="Times New Roman"/>
          <w:sz w:val="16"/>
          <w:szCs w:val="16"/>
          <w:color w:val="auto"/>
        </w:rPr>
        <w:t>Other NEOs: 100%</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CEO &amp; Chief Medical Officer: 125%</w:t>
      </w:r>
    </w:p>
    <w:p>
      <w:pPr>
        <w:spacing w:after="0"/>
        <w:rPr>
          <w:sz w:val="20"/>
          <w:szCs w:val="20"/>
          <w:color w:val="auto"/>
        </w:rPr>
      </w:pPr>
      <w:r>
        <w:rPr>
          <w:rFonts w:ascii="Times New Roman" w:cs="Times New Roman" w:eastAsia="Times New Roman" w:hAnsi="Times New Roman"/>
          <w:sz w:val="16"/>
          <w:szCs w:val="16"/>
          <w:color w:val="auto"/>
        </w:rPr>
        <w:t>Other NEOs: 133%</w:t>
      </w:r>
    </w:p>
    <w:p>
      <w:pPr>
        <w:spacing w:after="0" w:line="288" w:lineRule="exact"/>
        <w:rPr>
          <w:sz w:val="20"/>
          <w:szCs w:val="20"/>
          <w:color w:val="auto"/>
        </w:rPr>
      </w:pPr>
    </w:p>
    <w:p>
      <w:pPr>
        <w:sectPr>
          <w:pgSz w:w="11900" w:h="16838" w:orient="portrait"/>
          <w:cols w:equalWidth="0" w:num="3">
            <w:col w:w="1400" w:space="580"/>
            <w:col w:w="6020" w:space="280"/>
            <w:col w:w="2940"/>
          </w:cols>
          <w:pgMar w:left="320" w:top="112" w:right="359" w:bottom="1440" w:gutter="0" w:footer="0" w:header="0"/>
          <w:type w:val="continuous"/>
        </w:sectPr>
      </w:pPr>
    </w:p>
    <w:p>
      <w:pPr>
        <w:spacing w:after="0" w:line="85" w:lineRule="exact"/>
        <w:rPr>
          <w:sz w:val="20"/>
          <w:szCs w:val="20"/>
          <w:color w:val="auto"/>
        </w:rPr>
      </w:pPr>
    </w:p>
    <w:p>
      <w:pPr>
        <w:ind w:right="220" w:firstLine="551"/>
        <w:spacing w:after="0" w:line="222" w:lineRule="auto"/>
        <w:rPr>
          <w:sz w:val="20"/>
          <w:szCs w:val="20"/>
          <w:color w:val="auto"/>
        </w:rPr>
      </w:pPr>
      <w:r>
        <w:rPr>
          <w:rFonts w:ascii="Times New Roman" w:cs="Times New Roman" w:eastAsia="Times New Roman" w:hAnsi="Times New Roman"/>
          <w:sz w:val="18"/>
          <w:szCs w:val="18"/>
          <w:color w:val="auto"/>
        </w:rPr>
        <w:t>Although the Company did announce positive top-line data from the Phase 3 clinical studies of crinecerfont in adults and pediatrics with CAH in 2023, these results were not received prior to the expiration of the 27-month performance period ending on March 31, 2023 for the 2021 PRSUs.</w:t>
      </w:r>
    </w:p>
    <w:p>
      <w:pPr>
        <w:spacing w:after="0" w:line="2"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Accordingly, the performance conditions of the 2021 PRSUs were not achieved, no portion of the 2021 PRSUs vested, and each of our NEOs forfeited the 2021 PRSUs.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2022 PRSUs. </w:t>
      </w:r>
      <w:r>
        <w:rPr>
          <w:rFonts w:ascii="Times New Roman" w:cs="Times New Roman" w:eastAsia="Times New Roman" w:hAnsi="Times New Roman"/>
          <w:sz w:val="18"/>
          <w:szCs w:val="18"/>
          <w:color w:val="auto"/>
        </w:rPr>
        <w:t>In January 2022, the Company granted PRSUs to the NEOs that vest on the date, or dates, that the Committee determines</w:t>
      </w:r>
    </w:p>
    <w:p>
      <w:pPr>
        <w:spacing w:after="0" w:line="4" w:lineRule="exact"/>
        <w:rPr>
          <w:sz w:val="20"/>
          <w:szCs w:val="20"/>
          <w:color w:val="auto"/>
        </w:rPr>
      </w:pPr>
    </w:p>
    <w:p>
      <w:pPr>
        <w:ind w:right="440"/>
        <w:spacing w:after="0" w:line="208" w:lineRule="auto"/>
        <w:rPr>
          <w:sz w:val="20"/>
          <w:szCs w:val="20"/>
          <w:color w:val="auto"/>
        </w:rPr>
      </w:pPr>
      <w:r>
        <w:rPr>
          <w:rFonts w:ascii="Times New Roman" w:cs="Times New Roman" w:eastAsia="Times New Roman" w:hAnsi="Times New Roman"/>
          <w:sz w:val="18"/>
          <w:szCs w:val="18"/>
          <w:color w:val="auto"/>
        </w:rPr>
        <w:t>achievement of two underlying separate performance metrics related to regulatory, clinical and commercial milestones, each within the three-year performance ending on December 31, 2024 (the “2022 PRSUs”). One of the two performance conditions underlying the 2022 PRSUs is based on the Company receiving FDA approval of INGREZZA for the treatment of adults with chorea associated with Huntington's disease (the “INGREZZA HD</w:t>
      </w:r>
    </w:p>
    <w:p>
      <w:pPr>
        <w:spacing w:after="0" w:line="2" w:lineRule="exact"/>
        <w:rPr>
          <w:sz w:val="20"/>
          <w:szCs w:val="20"/>
          <w:color w:val="auto"/>
        </w:rPr>
      </w:pPr>
    </w:p>
    <w:p>
      <w:pPr>
        <w:ind w:right="160"/>
        <w:spacing w:after="0" w:line="208" w:lineRule="auto"/>
        <w:rPr>
          <w:sz w:val="20"/>
          <w:szCs w:val="20"/>
          <w:color w:val="auto"/>
        </w:rPr>
      </w:pPr>
      <w:r>
        <w:rPr>
          <w:rFonts w:ascii="Times New Roman" w:cs="Times New Roman" w:eastAsia="Times New Roman" w:hAnsi="Times New Roman"/>
          <w:sz w:val="18"/>
          <w:szCs w:val="18"/>
          <w:color w:val="auto"/>
        </w:rPr>
        <w:t>Metric”). The specific performance condition underlying the INGREZZA HD Metric, as well as payout levels at target and maximum achievement of the INGREZZA HD Metric are set forth in the table below. Assuming a target level of achievement for both the INGREZZA HD Metric and the second performance condition, the relative weight of the INGREZZA HD Metric is 40% of the total 2022 PRSU award. If the Company failed to achieve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INGREZZA HD Metric within the performance period, then no portion of the underlying RSUs associated with the INGREZZA HD Metric would vest.</w:t>
      </w:r>
    </w:p>
    <w:p>
      <w:pPr>
        <w:sectPr>
          <w:pgSz w:w="11900" w:h="16838" w:orient="portrait"/>
          <w:cols w:equalWidth="0" w:num="1">
            <w:col w:w="11220"/>
          </w:cols>
          <w:pgMar w:left="320" w:top="112" w:right="359" w:bottom="1440" w:gutter="0" w:footer="0" w:header="0"/>
          <w:type w:val="continuous"/>
        </w:sectPr>
      </w:pPr>
    </w:p>
    <w:p>
      <w:pPr>
        <w:spacing w:after="0" w:line="7"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6"/>
          <w:szCs w:val="16"/>
          <w:b w:val="1"/>
          <w:bCs w:val="1"/>
          <w:color w:val="auto"/>
        </w:rPr>
        <w:t>INGREZZA HD Metric Achievement Level</w:t>
      </w:r>
    </w:p>
    <w:p>
      <w:pPr>
        <w:spacing w:after="0" w:line="266"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6"/>
          <w:szCs w:val="16"/>
          <w:color w:val="auto"/>
        </w:rPr>
        <w:t>Target</w:t>
      </w:r>
    </w:p>
    <w:p>
      <w:pPr>
        <w:spacing w:after="0" w:line="19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Max</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Performance Condition for INGREZZA HD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-1251585</wp:posOffset>
            </wp:positionH>
            <wp:positionV relativeFrom="paragraph">
              <wp:posOffset>21590</wp:posOffset>
            </wp:positionV>
            <wp:extent cx="7132320" cy="2489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28" w:lineRule="exact"/>
        <w:rPr>
          <w:sz w:val="20"/>
          <w:szCs w:val="20"/>
          <w:color w:val="auto"/>
        </w:rPr>
      </w:pPr>
    </w:p>
    <w:p>
      <w:pPr>
        <w:ind w:right="320"/>
        <w:spacing w:after="0" w:line="245" w:lineRule="auto"/>
        <w:rPr>
          <w:sz w:val="20"/>
          <w:szCs w:val="20"/>
          <w:color w:val="auto"/>
        </w:rPr>
      </w:pPr>
      <w:r>
        <w:rPr>
          <w:rFonts w:ascii="Times New Roman" w:cs="Times New Roman" w:eastAsia="Times New Roman" w:hAnsi="Times New Roman"/>
          <w:sz w:val="16"/>
          <w:szCs w:val="16"/>
          <w:color w:val="auto"/>
        </w:rPr>
        <w:t>Company receives FDA approval of INGREZZA for the treatment of adults with chorea associated with Huntington's disease</w:t>
      </w:r>
    </w:p>
    <w:p>
      <w:pPr>
        <w:spacing w:after="0" w:line="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Company receives FDA approval of INGREZZA for the treatment of adults with chorea associated with Huntington's disease and such approval does not require a black box warning</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Payout Level</w:t>
      </w:r>
    </w:p>
    <w:p>
      <w:pPr>
        <w:jc w:val="center"/>
        <w:ind w:right="240"/>
        <w:spacing w:after="0" w:line="211" w:lineRule="auto"/>
        <w:rPr>
          <w:sz w:val="20"/>
          <w:szCs w:val="20"/>
          <w:color w:val="auto"/>
        </w:rPr>
      </w:pPr>
      <w:r>
        <w:rPr>
          <w:rFonts w:ascii="Times New Roman" w:cs="Times New Roman" w:eastAsia="Times New Roman" w:hAnsi="Times New Roman"/>
          <w:sz w:val="16"/>
          <w:szCs w:val="16"/>
          <w:b w:val="1"/>
          <w:bCs w:val="1"/>
          <w:color w:val="auto"/>
        </w:rPr>
        <w:t>(as a % of target with respect to the</w:t>
      </w:r>
    </w:p>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INGREZZA HD Metric)</w:t>
      </w:r>
    </w:p>
    <w:p>
      <w:pPr>
        <w:spacing w:after="0" w:line="10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100%</w:t>
      </w:r>
    </w:p>
    <w:p>
      <w:pPr>
        <w:spacing w:after="0" w:line="19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175%</w:t>
      </w:r>
    </w:p>
    <w:p>
      <w:pPr>
        <w:spacing w:after="0" w:line="310" w:lineRule="exact"/>
        <w:rPr>
          <w:sz w:val="20"/>
          <w:szCs w:val="20"/>
          <w:color w:val="auto"/>
        </w:rPr>
      </w:pPr>
    </w:p>
    <w:p>
      <w:pPr>
        <w:sectPr>
          <w:pgSz w:w="11900" w:h="16838" w:orient="portrait"/>
          <w:cols w:equalWidth="0" w:num="3">
            <w:col w:w="1780" w:space="200"/>
            <w:col w:w="6040" w:space="500"/>
            <w:col w:w="2700"/>
          </w:cols>
          <w:pgMar w:left="320" w:top="11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August 2023, the Committee certified that the Company had received FDA approval of INGREZZA for the treatment of adults with chorea</w:t>
      </w:r>
    </w:p>
    <w:p>
      <w:pPr>
        <w:spacing w:after="0" w:line="2"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17"/>
          <w:szCs w:val="17"/>
          <w:color w:val="auto"/>
        </w:rPr>
        <w:t>associated with Huntington's disease and that the INGREZZA HD Metric was achieved at the target performance level. Accordingly, the Committee approved a payout at 100% of each NEO’s target amount of RSUs associated with the INGREZZA HD Metric. As of the date of this Proxy Statement, the performance period for the second performance condition for the 2022 PRSUs related to regulatory and commercial milestones is ongoing. We believe</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disclosing the specific performance target for this second performance condition while the performance period is ongoing could cause competitive harm, as providing this information could provide competitors with insights in our strategy and clinical development programs that would be harmful to us. However, we will disclose the specific performance condition following the Committee's certification of achievement or expiration of the performance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matching contribution to the 401(k) Plan for 2023 was 100% of eligible participant contributions, subject to applicable federal</w:t>
      </w:r>
    </w:p>
    <w:p>
      <w:pPr>
        <w:spacing w:after="0" w:line="2"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limits. Our NEOs are eligible for these benefits on the same basis as our other employees. The Company made no additional discretionary contributions to the 401(k) Plan in 2023.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Officer Equity Ownership Guidelines</w:t>
      </w:r>
    </w:p>
    <w:p>
      <w:pPr>
        <w:spacing w:after="0" w:line="202" w:lineRule="exact"/>
        <w:rPr>
          <w:sz w:val="20"/>
          <w:szCs w:val="20"/>
          <w:color w:val="auto"/>
        </w:rPr>
      </w:pPr>
    </w:p>
    <w:p>
      <w:pPr>
        <w:ind w:right="160" w:firstLine="551"/>
        <w:spacing w:after="0" w:line="213" w:lineRule="auto"/>
        <w:rPr>
          <w:sz w:val="20"/>
          <w:szCs w:val="20"/>
          <w:color w:val="auto"/>
        </w:rPr>
      </w:pPr>
      <w:r>
        <w:rPr>
          <w:rFonts w:ascii="Times New Roman" w:cs="Times New Roman" w:eastAsia="Times New Roman" w:hAnsi="Times New Roman"/>
          <w:sz w:val="18"/>
          <w:szCs w:val="18"/>
          <w:color w:val="auto"/>
        </w:rPr>
        <w:t>Since 2014, we have maintained equity ownership guidelines for our executive officers. The Committee amended these guidelines in November 2018 to increase the guideline for our Chief Executive Officer from three to six times his base salary. The equity ownership guidelines are designed to further align the interests of the executive officers with those of our stockholders by ensuring that our executive officers have a meaningful financial stake in the Company’s long-term success. The equity ownership guidelines establish a minimum equity ownership level by position, with such values</w:t>
      </w:r>
    </w:p>
    <w:p>
      <w:pPr>
        <w:spacing w:after="0" w:line="1" w:lineRule="exact"/>
        <w:rPr>
          <w:sz w:val="20"/>
          <w:szCs w:val="20"/>
          <w:color w:val="auto"/>
        </w:rPr>
      </w:pPr>
    </w:p>
    <w:p>
      <w:pPr>
        <w:ind w:right="420"/>
        <w:spacing w:after="0" w:line="208" w:lineRule="auto"/>
        <w:rPr>
          <w:sz w:val="20"/>
          <w:szCs w:val="20"/>
          <w:color w:val="auto"/>
        </w:rPr>
      </w:pPr>
      <w:r>
        <w:rPr>
          <w:rFonts w:ascii="Times New Roman" w:cs="Times New Roman" w:eastAsia="Times New Roman" w:hAnsi="Times New Roman"/>
          <w:sz w:val="18"/>
          <w:szCs w:val="18"/>
          <w:color w:val="auto"/>
        </w:rPr>
        <w:t>determined based on the value of our common stock owned by such persons as of certain measurement dates. When creating our equity ownership guidelines, the Committee adopted the view that the in-the-money value of vested stock options are of equivalent ownership value to the value of such stock options had they been exercised for shares of our common stock. Accordingly, all shares directly or beneficially owned by the executive officer,</w:t>
      </w:r>
    </w:p>
    <w:p>
      <w:pPr>
        <w:spacing w:after="0" w:line="2" w:lineRule="exact"/>
        <w:rPr>
          <w:sz w:val="20"/>
          <w:szCs w:val="20"/>
          <w:color w:val="auto"/>
        </w:rPr>
      </w:pPr>
    </w:p>
    <w:p>
      <w:pPr>
        <w:ind w:right="540"/>
        <w:spacing w:after="0" w:line="226" w:lineRule="auto"/>
        <w:rPr>
          <w:sz w:val="20"/>
          <w:szCs w:val="20"/>
          <w:color w:val="auto"/>
        </w:rPr>
      </w:pPr>
      <w:r>
        <w:rPr>
          <w:rFonts w:ascii="Times New Roman" w:cs="Times New Roman" w:eastAsia="Times New Roman" w:hAnsi="Times New Roman"/>
          <w:sz w:val="18"/>
          <w:szCs w:val="18"/>
          <w:color w:val="auto"/>
        </w:rPr>
        <w:t>including the net exercisable value of outstanding vested stock options (where the market price of our common stock exceeds the strike price of such option) are included in determining the value of equity owned under our equity ownership guidelines.</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equity ownership requirements are as follows:</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5780" w:type="dxa"/>
            <w:vAlign w:val="bottom"/>
            <w:tcBorders>
              <w:top w:val="single" w:sz="8" w:color="BA7F02"/>
              <w:left w:val="single" w:sz="8" w:color="BA7F02"/>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5480" w:type="dxa"/>
            <w:vAlign w:val="bottom"/>
            <w:tcBorders>
              <w:top w:val="single" w:sz="8" w:color="BA7F02"/>
              <w:right w:val="single" w:sz="8" w:color="BA7F02"/>
            </w:tcBorders>
          </w:tcPr>
          <w:p>
            <w:pPr>
              <w:ind w:left="1960"/>
              <w:spacing w:after="0"/>
              <w:rPr>
                <w:sz w:val="20"/>
                <w:szCs w:val="20"/>
                <w:color w:val="auto"/>
              </w:rPr>
            </w:pPr>
            <w:r>
              <w:rPr>
                <w:rFonts w:ascii="Times New Roman" w:cs="Times New Roman" w:eastAsia="Times New Roman" w:hAnsi="Times New Roman"/>
                <w:sz w:val="18"/>
                <w:szCs w:val="18"/>
                <w:color w:val="auto"/>
              </w:rPr>
              <w:t>6 times base salary</w:t>
            </w:r>
          </w:p>
        </w:tc>
      </w:tr>
      <w:tr>
        <w:trPr>
          <w:trHeight w:val="297"/>
        </w:trPr>
        <w:tc>
          <w:tcPr>
            <w:tcW w:w="5780" w:type="dxa"/>
            <w:vAlign w:val="bottom"/>
            <w:tcBorders>
              <w:left w:val="single" w:sz="8" w:color="BA7F02"/>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All other executive officers</w:t>
            </w:r>
          </w:p>
        </w:tc>
        <w:tc>
          <w:tcPr>
            <w:tcW w:w="5480" w:type="dxa"/>
            <w:vAlign w:val="bottom"/>
            <w:tcBorders>
              <w:right w:val="single" w:sz="8" w:color="BA7F02"/>
            </w:tcBorders>
          </w:tcPr>
          <w:p>
            <w:pPr>
              <w:ind w:left="1960"/>
              <w:spacing w:after="0"/>
              <w:rPr>
                <w:sz w:val="20"/>
                <w:szCs w:val="20"/>
                <w:color w:val="auto"/>
              </w:rPr>
            </w:pPr>
            <w:r>
              <w:rPr>
                <w:rFonts w:ascii="Times New Roman" w:cs="Times New Roman" w:eastAsia="Times New Roman" w:hAnsi="Times New Roman"/>
                <w:sz w:val="18"/>
                <w:szCs w:val="18"/>
                <w:color w:val="auto"/>
              </w:rPr>
              <w:t>1 times base salary</w:t>
            </w:r>
          </w:p>
        </w:tc>
      </w:tr>
      <w:tr>
        <w:trPr>
          <w:trHeight w:val="47"/>
        </w:trPr>
        <w:tc>
          <w:tcPr>
            <w:tcW w:w="5780" w:type="dxa"/>
            <w:vAlign w:val="bottom"/>
            <w:tcBorders>
              <w:left w:val="single" w:sz="8" w:color="BA7F02"/>
              <w:bottom w:val="single" w:sz="8" w:color="BB8110"/>
            </w:tcBorders>
          </w:tcPr>
          <w:p>
            <w:pPr>
              <w:spacing w:after="0"/>
              <w:rPr>
                <w:sz w:val="4"/>
                <w:szCs w:val="4"/>
                <w:color w:val="auto"/>
              </w:rPr>
            </w:pPr>
          </w:p>
        </w:tc>
        <w:tc>
          <w:tcPr>
            <w:tcW w:w="5480" w:type="dxa"/>
            <w:vAlign w:val="bottom"/>
            <w:tcBorders>
              <w:bottom w:val="single" w:sz="8" w:color="BB8110"/>
              <w:right w:val="single" w:sz="8" w:color="BA7F02"/>
            </w:tcBorders>
          </w:tcPr>
          <w:p>
            <w:pPr>
              <w:spacing w:after="0"/>
              <w:rPr>
                <w:sz w:val="4"/>
                <w:szCs w:val="4"/>
                <w:color w:val="auto"/>
              </w:rPr>
            </w:pPr>
          </w:p>
        </w:tc>
      </w:tr>
    </w:tbl>
    <w:p>
      <w:pPr>
        <w:spacing w:after="0" w:line="2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New executive officers are granted a five-year period to reach the equity ownership requirements set forth in the guidelines and are expected to</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make annual progress toward the equity ownership requirements during this five-year period. When an executive officer does not meet the equity ownership requirements set forth in the guidelines, he/she is restricted from selling any held shares until such requirements are met. Additionally, should an executive officer who does not meet the equity ownership requirements choose to exercise a stock option or vest in any RSUs, he or she is required to</w:t>
      </w:r>
    </w:p>
    <w:p>
      <w:pPr>
        <w:spacing w:after="0" w:line="2"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retain all shares acquired through those transactions, aside from any shares necessary to fulfill such transaction related tax obligations, until full compliance with the equity ownership guidelines is attained.</w:t>
      </w:r>
    </w:p>
    <w:p>
      <w:pPr>
        <w:spacing w:after="0" w:line="157" w:lineRule="exact"/>
        <w:rPr>
          <w:sz w:val="20"/>
          <w:szCs w:val="20"/>
          <w:color w:val="auto"/>
        </w:rPr>
      </w:pPr>
    </w:p>
    <w:p>
      <w:pPr>
        <w:ind w:right="620" w:firstLine="551"/>
        <w:spacing w:after="0" w:line="250" w:lineRule="auto"/>
        <w:rPr>
          <w:sz w:val="20"/>
          <w:szCs w:val="20"/>
          <w:color w:val="auto"/>
        </w:rPr>
      </w:pPr>
      <w:r>
        <w:rPr>
          <w:rFonts w:ascii="Times New Roman" w:cs="Times New Roman" w:eastAsia="Times New Roman" w:hAnsi="Times New Roman"/>
          <w:sz w:val="18"/>
          <w:szCs w:val="18"/>
          <w:color w:val="auto"/>
        </w:rPr>
        <w:t>Annual compliance with the equity ownership guidelines is assessed during the first quarter of each year. As of March 25, 2024, each of our executive officers was in compliance with the equity ownership guidelines.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Trading Policies and Procedures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policies and procedures in place that prohibit direct or indirect participation by employees and directors of the Company in</w:t>
      </w:r>
    </w:p>
    <w:p>
      <w:pPr>
        <w:spacing w:after="0" w:line="2" w:lineRule="exact"/>
        <w:rPr>
          <w:sz w:val="20"/>
          <w:szCs w:val="20"/>
          <w:color w:val="auto"/>
        </w:rPr>
      </w:pPr>
    </w:p>
    <w:p>
      <w:pPr>
        <w:ind w:right="300"/>
        <w:spacing w:after="0" w:line="208" w:lineRule="auto"/>
        <w:rPr>
          <w:sz w:val="20"/>
          <w:szCs w:val="20"/>
          <w:color w:val="auto"/>
        </w:rPr>
      </w:pPr>
      <w:r>
        <w:rPr>
          <w:rFonts w:ascii="Times New Roman" w:cs="Times New Roman" w:eastAsia="Times New Roman" w:hAnsi="Times New Roman"/>
          <w:sz w:val="18"/>
          <w:szCs w:val="18"/>
          <w:color w:val="auto"/>
        </w:rPr>
        <w:t>transactions involving trading activities in Company common stock which by their aggressive or speculative nature may give rise to an appearance of impropriety. Such prohibited activities would include the purchase of put or call options, or the writing of such options as well as short sales, hedging transactions such as “cashless” collars, forward sales, equity swaps and other related arrangement which may indirectly involve short-sale and any other</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transactions designed for profit from short-term movement in the Company’s stock price. In addition, no officer, director or employee of the Company may margin, or make any offer to margin, any Company common stock, including without limitation, borrowing against such stock, at any time. Under the policies, a contribution of the Company’s securities to an exchange fund not designed to hedge any decrease in the market value of Neurocrine's equity</w:t>
      </w:r>
    </w:p>
    <w:p>
      <w:pPr>
        <w:spacing w:after="0" w:line="2" w:lineRule="exact"/>
        <w:rPr>
          <w:sz w:val="20"/>
          <w:szCs w:val="20"/>
          <w:color w:val="auto"/>
        </w:rPr>
      </w:pPr>
    </w:p>
    <w:p>
      <w:pPr>
        <w:ind w:right="640"/>
        <w:spacing w:after="0" w:line="226" w:lineRule="auto"/>
        <w:rPr>
          <w:sz w:val="20"/>
          <w:szCs w:val="20"/>
          <w:color w:val="auto"/>
        </w:rPr>
      </w:pPr>
      <w:r>
        <w:rPr>
          <w:rFonts w:ascii="Times New Roman" w:cs="Times New Roman" w:eastAsia="Times New Roman" w:hAnsi="Times New Roman"/>
          <w:sz w:val="18"/>
          <w:szCs w:val="18"/>
          <w:color w:val="auto"/>
        </w:rPr>
        <w:t>securities is not considered a form of hedging; however, such contribution by an employee or director remains subject to the other provisions of the Company’s insider trading policy, including provisions regarding quarterly trading blackout periods and pre-clearance requirements.</w:t>
      </w:r>
    </w:p>
    <w:p>
      <w:pPr>
        <w:spacing w:after="0" w:line="157" w:lineRule="exact"/>
        <w:rPr>
          <w:sz w:val="20"/>
          <w:szCs w:val="20"/>
          <w:color w:val="auto"/>
        </w:rPr>
      </w:pPr>
    </w:p>
    <w:p>
      <w:pPr>
        <w:ind w:right="40" w:firstLine="551"/>
        <w:spacing w:after="0" w:line="250" w:lineRule="auto"/>
        <w:rPr>
          <w:sz w:val="20"/>
          <w:szCs w:val="20"/>
          <w:color w:val="auto"/>
        </w:rPr>
      </w:pPr>
      <w:r>
        <w:rPr>
          <w:rFonts w:ascii="Times New Roman" w:cs="Times New Roman" w:eastAsia="Times New Roman" w:hAnsi="Times New Roman"/>
          <w:sz w:val="18"/>
          <w:szCs w:val="18"/>
          <w:color w:val="auto"/>
        </w:rPr>
        <w:t>To the Company’s knowledge, there were no transactions involving hedging, pledging or margining Company common stock during 2023, nor were there any such transactions as of the Record Date.</w:t>
      </w:r>
    </w:p>
    <w:p>
      <w:pPr>
        <w:sectPr>
          <w:pgSz w:w="11900" w:h="16838" w:orient="portrait"/>
          <w:cols w:equalWidth="0" w:num="1">
            <w:col w:w="11260"/>
          </w:cols>
          <w:pgMar w:left="320" w:top="11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also requires directors and executive officers to complete all equity related open-market purchase and sale transactions via a 10b5-1</w:t>
      </w:r>
    </w:p>
    <w:p>
      <w:pPr>
        <w:spacing w:after="0" w:line="2" w:lineRule="exact"/>
        <w:rPr>
          <w:sz w:val="20"/>
          <w:szCs w:val="20"/>
          <w:color w:val="auto"/>
        </w:rPr>
      </w:pPr>
    </w:p>
    <w:p>
      <w:pPr>
        <w:jc w:val="both"/>
        <w:ind w:right="40"/>
        <w:spacing w:after="0" w:line="218" w:lineRule="auto"/>
        <w:rPr>
          <w:sz w:val="20"/>
          <w:szCs w:val="20"/>
          <w:color w:val="auto"/>
        </w:rPr>
      </w:pPr>
      <w:r>
        <w:rPr>
          <w:rFonts w:ascii="Times New Roman" w:cs="Times New Roman" w:eastAsia="Times New Roman" w:hAnsi="Times New Roman"/>
          <w:sz w:val="18"/>
          <w:szCs w:val="18"/>
          <w:color w:val="auto"/>
        </w:rPr>
        <w:t>plan. The 10b5-1 plans typically cover, among other transactions, direct sales and purchases of Company stock, as well as same-day-sales related to option exercises and sales of stock for tax payments upon the vesting of RSUs. All 10b5-1 plans are required to have a waiting period from the election date to the date of the first transaction. Additionally, Company policy restricts the executive officers from amending a 10b5-1 trading plan.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Recoupment Policy</w:t>
      </w:r>
    </w:p>
    <w:p>
      <w:pPr>
        <w:spacing w:after="0" w:line="216" w:lineRule="exact"/>
        <w:rPr>
          <w:sz w:val="20"/>
          <w:szCs w:val="20"/>
          <w:color w:val="auto"/>
        </w:rPr>
      </w:pPr>
    </w:p>
    <w:p>
      <w:pPr>
        <w:ind w:right="120" w:firstLine="551"/>
        <w:spacing w:after="0" w:line="236" w:lineRule="auto"/>
        <w:rPr>
          <w:sz w:val="20"/>
          <w:szCs w:val="20"/>
          <w:color w:val="auto"/>
        </w:rPr>
      </w:pPr>
      <w:r>
        <w:rPr>
          <w:rFonts w:ascii="Times New Roman" w:cs="Times New Roman" w:eastAsia="Times New Roman" w:hAnsi="Times New Roman"/>
          <w:sz w:val="17"/>
          <w:szCs w:val="17"/>
          <w:color w:val="auto"/>
        </w:rPr>
        <w:t>In February 2017, we adopted a clawback policy, which provides that, in the event (i) we are required to prepare an accounting restatement for any fiscal quarter or year due to our material noncompliance with any financial reporting requirement and (ii) it is determined that misconduct contributed to</w:t>
      </w:r>
    </w:p>
    <w:p>
      <w:pPr>
        <w:spacing w:after="0" w:line="218" w:lineRule="auto"/>
        <w:rPr>
          <w:sz w:val="20"/>
          <w:szCs w:val="20"/>
          <w:color w:val="auto"/>
        </w:rPr>
      </w:pPr>
      <w:r>
        <w:rPr>
          <w:rFonts w:ascii="Times New Roman" w:cs="Times New Roman" w:eastAsia="Times New Roman" w:hAnsi="Times New Roman"/>
          <w:sz w:val="18"/>
          <w:szCs w:val="18"/>
          <w:color w:val="auto"/>
        </w:rPr>
        <w:t>the noncompliance that resulted in the obligation to restate our financial statements, we may take action to recover from any officer whose misconduct contributed to the noncompliance which resulted in the obligation to restate our financial statements, the incentive compensation, including cash and equity, that was paid or vested to such officer during the twelve-month period preceding the restatement obligation (the "Prior Clawback Policy").</w:t>
      </w:r>
    </w:p>
    <w:p>
      <w:pPr>
        <w:spacing w:after="0" w:line="172" w:lineRule="exact"/>
        <w:rPr>
          <w:sz w:val="20"/>
          <w:szCs w:val="20"/>
          <w:color w:val="auto"/>
        </w:rPr>
      </w:pPr>
    </w:p>
    <w:p>
      <w:pPr>
        <w:jc w:val="both"/>
        <w:ind w:right="100" w:firstLine="551"/>
        <w:spacing w:after="0" w:line="229" w:lineRule="auto"/>
        <w:rPr>
          <w:sz w:val="20"/>
          <w:szCs w:val="20"/>
          <w:color w:val="auto"/>
        </w:rPr>
      </w:pPr>
      <w:r>
        <w:rPr>
          <w:rFonts w:ascii="Times New Roman" w:cs="Times New Roman" w:eastAsia="Times New Roman" w:hAnsi="Times New Roman"/>
          <w:sz w:val="17"/>
          <w:szCs w:val="17"/>
          <w:color w:val="auto"/>
        </w:rPr>
        <w:t>The SEC and the Nasdaq recently adopted final rules implementing the incentive-based compensation recovery provisions of the Dodd-Frank Wall Street Reform and Consumer Protection Act, which require listed companies to develop and implement a policy providing for the recovery of erroneously awarded incentive-based compensation received by current or former executive officers. In October 2023 and in accordance with these final rules, the</w:t>
      </w:r>
    </w:p>
    <w:p>
      <w:pPr>
        <w:ind w:right="220"/>
        <w:spacing w:after="0" w:line="219" w:lineRule="auto"/>
        <w:rPr>
          <w:sz w:val="20"/>
          <w:szCs w:val="20"/>
          <w:color w:val="auto"/>
        </w:rPr>
      </w:pPr>
      <w:r>
        <w:rPr>
          <w:rFonts w:ascii="Times New Roman" w:cs="Times New Roman" w:eastAsia="Times New Roman" w:hAnsi="Times New Roman"/>
          <w:sz w:val="17"/>
          <w:szCs w:val="17"/>
          <w:color w:val="auto"/>
        </w:rPr>
        <w:t>Committee approved an Incentive Compensation Recoupment Policy (the "Clawback Policy") that provides for recoupment of certain cash and equity-based incentive compensation paid to current and former executive officers of the Company in the event of an accounting restatement of the Company’s financial statements. The Clawback Policy applies to all incentive compensation that is received by a covered officer on or after October 2, 2023 (the "Effective Date"), and replaces and supersedes our Prior Clawback Policy with respect to all incentive compensation that is received by a covered officer</w:t>
      </w:r>
    </w:p>
    <w:p>
      <w:pPr>
        <w:spacing w:after="0" w:line="2" w:lineRule="exact"/>
        <w:rPr>
          <w:sz w:val="20"/>
          <w:szCs w:val="20"/>
          <w:color w:val="auto"/>
        </w:rPr>
      </w:pPr>
    </w:p>
    <w:p>
      <w:pPr>
        <w:jc w:val="both"/>
        <w:ind w:right="160"/>
        <w:spacing w:after="0" w:line="226" w:lineRule="auto"/>
        <w:rPr>
          <w:sz w:val="20"/>
          <w:szCs w:val="20"/>
          <w:color w:val="auto"/>
        </w:rPr>
      </w:pPr>
      <w:r>
        <w:rPr>
          <w:rFonts w:ascii="Times New Roman" w:cs="Times New Roman" w:eastAsia="Times New Roman" w:hAnsi="Times New Roman"/>
          <w:sz w:val="18"/>
          <w:szCs w:val="18"/>
          <w:color w:val="auto"/>
        </w:rPr>
        <w:t>on or after the October 2, 2023. The Prior Clawback Policy continues to apply to any incentive compensation that is received by a covered officer prior to the Effective Date. For more information, see the full text of our Clawback Policy, which is filed as an exhibit to our 2023 Annual Report on Form 10-K.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Revenue Code Section 162(m)</w:t>
      </w:r>
    </w:p>
    <w:p>
      <w:pPr>
        <w:spacing w:after="0" w:line="189" w:lineRule="exact"/>
        <w:rPr>
          <w:sz w:val="20"/>
          <w:szCs w:val="20"/>
          <w:color w:val="auto"/>
        </w:rPr>
      </w:pPr>
    </w:p>
    <w:p>
      <w:pPr>
        <w:ind w:right="240" w:firstLine="551"/>
        <w:spacing w:after="0" w:line="236" w:lineRule="auto"/>
        <w:rPr>
          <w:sz w:val="20"/>
          <w:szCs w:val="20"/>
          <w:color w:val="auto"/>
        </w:rPr>
      </w:pPr>
      <w:r>
        <w:rPr>
          <w:rFonts w:ascii="Times New Roman" w:cs="Times New Roman" w:eastAsia="Times New Roman" w:hAnsi="Times New Roman"/>
          <w:sz w:val="17"/>
          <w:szCs w:val="17"/>
          <w:color w:val="auto"/>
        </w:rPr>
        <w:t>Under Section 162(m) of the Internal Revenue Code (“Section 162(m)”), compensation paid to each of the Company’s “covered employees” that exceeds $1 million per taxable year is generally non-deductible unless the compensation qualifies for certain grandfathered exceptions (including the</w:t>
      </w:r>
    </w:p>
    <w:p>
      <w:pPr>
        <w:ind w:right="80"/>
        <w:spacing w:after="0" w:line="226" w:lineRule="auto"/>
        <w:rPr>
          <w:sz w:val="20"/>
          <w:szCs w:val="20"/>
          <w:color w:val="auto"/>
        </w:rPr>
      </w:pPr>
      <w:r>
        <w:rPr>
          <w:rFonts w:ascii="Times New Roman" w:cs="Times New Roman" w:eastAsia="Times New Roman" w:hAnsi="Times New Roman"/>
          <w:sz w:val="18"/>
          <w:szCs w:val="18"/>
          <w:color w:val="auto"/>
        </w:rPr>
        <w:t>“performance-based compensation” exception) for certain compensation paid pursuant to a written binding contract in effect on November 2, 2017 and not materially modified on or after such date.</w:t>
      </w:r>
    </w:p>
    <w:p>
      <w:pPr>
        <w:spacing w:after="0" w:line="157" w:lineRule="exact"/>
        <w:rPr>
          <w:sz w:val="20"/>
          <w:szCs w:val="20"/>
          <w:color w:val="auto"/>
        </w:rPr>
      </w:pPr>
    </w:p>
    <w:p>
      <w:pPr>
        <w:ind w:right="120" w:firstLine="551"/>
        <w:spacing w:after="0" w:line="250" w:lineRule="auto"/>
        <w:rPr>
          <w:sz w:val="20"/>
          <w:szCs w:val="20"/>
          <w:color w:val="auto"/>
        </w:rPr>
      </w:pPr>
      <w:r>
        <w:rPr>
          <w:rFonts w:ascii="Times New Roman" w:cs="Times New Roman" w:eastAsia="Times New Roman" w:hAnsi="Times New Roman"/>
          <w:sz w:val="18"/>
          <w:szCs w:val="18"/>
          <w:color w:val="auto"/>
        </w:rPr>
        <w:t>In light of the repeal of the performance-based compensation exemption under Section 162(m), the Committee may authorize compensation that is not deductible if it is determined to be appropriate and in the best interests of the Company and our stockholders.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Considerations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accounts for equity compensation paid to our employees under the FASB ASC Topic 718, which requires us to estimate and record</w:t>
      </w:r>
    </w:p>
    <w:p>
      <w:pPr>
        <w:spacing w:after="0" w:line="2" w:lineRule="exact"/>
        <w:rPr>
          <w:sz w:val="20"/>
          <w:szCs w:val="20"/>
          <w:color w:val="auto"/>
        </w:rPr>
      </w:pPr>
    </w:p>
    <w:p>
      <w:pPr>
        <w:jc w:val="both"/>
        <w:ind w:right="620"/>
        <w:spacing w:after="0" w:line="218" w:lineRule="auto"/>
        <w:rPr>
          <w:sz w:val="20"/>
          <w:szCs w:val="20"/>
          <w:color w:val="auto"/>
        </w:rPr>
      </w:pPr>
      <w:r>
        <w:rPr>
          <w:rFonts w:ascii="Times New Roman" w:cs="Times New Roman" w:eastAsia="Times New Roman" w:hAnsi="Times New Roman"/>
          <w:sz w:val="18"/>
          <w:szCs w:val="18"/>
          <w:color w:val="auto"/>
        </w:rPr>
        <w:t>an expense over the service period of the equity award. Our cash compensation is recorded as an expense at the time the obligation is incurred. The accounting impact of our compensation programs are one of many factors that the Committee considers in determining the structure and size of our executive officer compensation programs.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Analysis of Our Compensation Program</w:t>
      </w:r>
    </w:p>
    <w:p>
      <w:pPr>
        <w:spacing w:after="0" w:line="189" w:lineRule="exact"/>
        <w:rPr>
          <w:sz w:val="20"/>
          <w:szCs w:val="20"/>
          <w:color w:val="auto"/>
        </w:rPr>
      </w:pPr>
    </w:p>
    <w:p>
      <w:pPr>
        <w:ind w:right="220" w:firstLine="551"/>
        <w:spacing w:after="0" w:line="222" w:lineRule="auto"/>
        <w:rPr>
          <w:sz w:val="20"/>
          <w:szCs w:val="20"/>
          <w:color w:val="auto"/>
        </w:rPr>
      </w:pPr>
      <w:r>
        <w:rPr>
          <w:rFonts w:ascii="Times New Roman" w:cs="Times New Roman" w:eastAsia="Times New Roman" w:hAnsi="Times New Roman"/>
          <w:sz w:val="18"/>
          <w:szCs w:val="18"/>
          <w:color w:val="auto"/>
        </w:rPr>
        <w:t>Our Committee has reviewed our compensation policies as generally applicable to our employees and believes that our policies do not encourage excessive or inappropriate risk taking and that the level of risk that they do encourage is not reasonably likely to have a material adverse effect on the</w:t>
      </w:r>
    </w:p>
    <w:p>
      <w:pPr>
        <w:spacing w:after="0" w:line="2"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Company. As part of its assessment, the Committee considered, among other factors, the allocation of compensation among base salary and short- and long-term compensation, our approach to establishing Company-wide and individual financial, operational and other performance targets, our bonus structure of payouts at multiple levels of performance (including maximum payout caps and payments for performance below target levels) and the nature</w:t>
      </w:r>
    </w:p>
    <w:p>
      <w:pPr>
        <w:spacing w:after="0" w:line="2"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of our key performance metrics. We believe these practices encourage our employees to focus on sustained, long-term Company growth, which we believe will ultimately contribute to the creation of stockholder value.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EXECUTIVE COMPENSATION AND OTHER INFORMATION</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set forth the compensation paid by the Company for 2021, 2022 and 2023 to the NEOs named below.</w:t>
      </w:r>
    </w:p>
    <w:p>
      <w:pPr>
        <w:spacing w:after="0" w:line="18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40" w:type="dxa"/>
            <w:vAlign w:val="bottom"/>
            <w:vMerge w:val="restart"/>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All</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20" w:type="dxa"/>
            <w:vAlign w:val="bottom"/>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40" w:type="dxa"/>
            <w:vAlign w:val="bottom"/>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24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34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 (1)</w:t>
            </w:r>
          </w:p>
        </w:tc>
        <w:tc>
          <w:tcPr>
            <w:tcW w:w="8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2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240" w:type="dxa"/>
            <w:vAlign w:val="bottom"/>
          </w:tcPr>
          <w:p>
            <w:pPr>
              <w:jc w:val="center"/>
              <w:ind w:right="221"/>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160" w:type="dxa"/>
            <w:vAlign w:val="bottom"/>
          </w:tcPr>
          <w:p>
            <w:pPr>
              <w:ind w:left="26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340" w:type="dxa"/>
            <w:vAlign w:val="bottom"/>
          </w:tcPr>
          <w:p>
            <w:pPr>
              <w:jc w:val="center"/>
              <w:ind w:right="101"/>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2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8"/>
        </w:trPr>
        <w:tc>
          <w:tcPr>
            <w:tcW w:w="284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4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 (2)</w:t>
            </w:r>
          </w:p>
        </w:tc>
        <w:tc>
          <w:tcPr>
            <w:tcW w:w="12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 (2)</w:t>
            </w:r>
          </w:p>
        </w:tc>
        <w:tc>
          <w:tcPr>
            <w:tcW w:w="124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 (3)</w:t>
            </w:r>
          </w:p>
        </w:tc>
        <w:tc>
          <w:tcPr>
            <w:tcW w:w="11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 (4)</w:t>
            </w:r>
          </w:p>
        </w:tc>
        <w:tc>
          <w:tcPr>
            <w:tcW w:w="134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9"/>
              </w:rPr>
              <w:t>($) (5)</w:t>
            </w: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Kevin C. Gorman, Ph.D.</w:t>
            </w: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2021</w:t>
            </w:r>
          </w:p>
        </w:tc>
        <w:tc>
          <w:tcPr>
            <w:tcW w:w="14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$825,000</w:t>
            </w:r>
          </w:p>
        </w:tc>
        <w:tc>
          <w:tcPr>
            <w:tcW w:w="12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$701,250</w:t>
            </w:r>
          </w:p>
        </w:tc>
        <w:tc>
          <w:tcPr>
            <w:tcW w:w="12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$6,093,752</w:t>
            </w:r>
          </w:p>
        </w:tc>
        <w:tc>
          <w:tcPr>
            <w:tcW w:w="1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$6,406,366</w:t>
            </w:r>
          </w:p>
        </w:tc>
        <w:tc>
          <w:tcPr>
            <w:tcW w:w="13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$55,044</w:t>
            </w:r>
          </w:p>
        </w:tc>
        <w:tc>
          <w:tcPr>
            <w:tcW w:w="1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$14,081,412</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Chief Executive Officer</w:t>
            </w: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2022</w:t>
            </w:r>
          </w:p>
        </w:tc>
        <w:tc>
          <w:tcPr>
            <w:tcW w:w="14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$860,000</w:t>
            </w:r>
          </w:p>
        </w:tc>
        <w:tc>
          <w:tcPr>
            <w:tcW w:w="12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$989,000</w:t>
            </w:r>
          </w:p>
        </w:tc>
        <w:tc>
          <w:tcPr>
            <w:tcW w:w="12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$4,875,106</w:t>
            </w:r>
          </w:p>
        </w:tc>
        <w:tc>
          <w:tcPr>
            <w:tcW w:w="1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$5,125,079</w:t>
            </w:r>
          </w:p>
        </w:tc>
        <w:tc>
          <w:tcPr>
            <w:tcW w:w="13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$53,342</w:t>
            </w:r>
          </w:p>
        </w:tc>
        <w:tc>
          <w:tcPr>
            <w:tcW w:w="1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$11,902,527</w:t>
            </w:r>
          </w:p>
        </w:tc>
        <w:tc>
          <w:tcPr>
            <w:tcW w:w="0" w:type="dxa"/>
            <w:vAlign w:val="bottom"/>
          </w:tcPr>
          <w:p>
            <w:pPr>
              <w:spacing w:after="0"/>
              <w:rPr>
                <w:sz w:val="1"/>
                <w:szCs w:val="1"/>
                <w:color w:val="auto"/>
              </w:rPr>
            </w:pPr>
          </w:p>
        </w:tc>
      </w:tr>
      <w:tr>
        <w:trPr>
          <w:trHeight w:val="222"/>
        </w:trPr>
        <w:tc>
          <w:tcPr>
            <w:tcW w:w="2840" w:type="dxa"/>
            <w:vAlign w:val="bottom"/>
            <w:shd w:val="clear" w:color="auto" w:fill="CCEEFF"/>
          </w:tcPr>
          <w:p>
            <w:pPr>
              <w:spacing w:after="0"/>
              <w:rPr>
                <w:sz w:val="19"/>
                <w:szCs w:val="19"/>
                <w:color w:val="auto"/>
              </w:rPr>
            </w:pP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2023</w:t>
            </w:r>
          </w:p>
        </w:tc>
        <w:tc>
          <w:tcPr>
            <w:tcW w:w="14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$946,000</w:t>
            </w:r>
          </w:p>
        </w:tc>
        <w:tc>
          <w:tcPr>
            <w:tcW w:w="12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$1,040,600</w:t>
            </w:r>
          </w:p>
        </w:tc>
        <w:tc>
          <w:tcPr>
            <w:tcW w:w="12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$6,678,790</w:t>
            </w:r>
          </w:p>
        </w:tc>
        <w:tc>
          <w:tcPr>
            <w:tcW w:w="1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$7,021,386</w:t>
            </w:r>
          </w:p>
        </w:tc>
        <w:tc>
          <w:tcPr>
            <w:tcW w:w="13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$64,036</w:t>
            </w:r>
          </w:p>
        </w:tc>
        <w:tc>
          <w:tcPr>
            <w:tcW w:w="1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$15,750,812</w:t>
            </w:r>
          </w:p>
        </w:tc>
        <w:tc>
          <w:tcPr>
            <w:tcW w:w="0" w:type="dxa"/>
            <w:vAlign w:val="bottom"/>
          </w:tcPr>
          <w:p>
            <w:pPr>
              <w:spacing w:after="0"/>
              <w:rPr>
                <w:sz w:val="1"/>
                <w:szCs w:val="1"/>
                <w:color w:val="auto"/>
              </w:rPr>
            </w:pPr>
          </w:p>
        </w:tc>
      </w:tr>
      <w:tr>
        <w:trPr>
          <w:trHeight w:val="210"/>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Matthew C. Abernethy</w:t>
            </w:r>
          </w:p>
        </w:tc>
        <w:tc>
          <w:tcPr>
            <w:tcW w:w="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2021</w:t>
            </w:r>
          </w:p>
        </w:tc>
        <w:tc>
          <w:tcPr>
            <w:tcW w:w="14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$588,800</w:t>
            </w:r>
          </w:p>
        </w:tc>
        <w:tc>
          <w:tcPr>
            <w:tcW w:w="12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$264,960</w:t>
            </w:r>
          </w:p>
        </w:tc>
        <w:tc>
          <w:tcPr>
            <w:tcW w:w="12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$2,625,019</w:t>
            </w:r>
          </w:p>
        </w:tc>
        <w:tc>
          <w:tcPr>
            <w:tcW w:w="1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$2,375,068</w:t>
            </w:r>
          </w:p>
        </w:tc>
        <w:tc>
          <w:tcPr>
            <w:tcW w:w="134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$53,003</w:t>
            </w: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$5,906,850</w:t>
            </w:r>
          </w:p>
        </w:tc>
        <w:tc>
          <w:tcPr>
            <w:tcW w:w="0" w:type="dxa"/>
            <w:vAlign w:val="bottom"/>
          </w:tcPr>
          <w:p>
            <w:pPr>
              <w:spacing w:after="0"/>
              <w:rPr>
                <w:sz w:val="1"/>
                <w:szCs w:val="1"/>
                <w:color w:val="auto"/>
              </w:rPr>
            </w:pPr>
          </w:p>
        </w:tc>
      </w:tr>
      <w:tr>
        <w:trPr>
          <w:trHeight w:val="216"/>
        </w:trPr>
        <w:tc>
          <w:tcPr>
            <w:tcW w:w="28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Chief Financial Officer</w:t>
            </w:r>
          </w:p>
        </w:tc>
        <w:tc>
          <w:tcPr>
            <w:tcW w:w="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2022</w:t>
            </w:r>
          </w:p>
        </w:tc>
        <w:tc>
          <w:tcPr>
            <w:tcW w:w="14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$618,240</w:t>
            </w:r>
          </w:p>
        </w:tc>
        <w:tc>
          <w:tcPr>
            <w:tcW w:w="12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$373,262</w:t>
            </w:r>
          </w:p>
        </w:tc>
        <w:tc>
          <w:tcPr>
            <w:tcW w:w="12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$2,310,061</w:t>
            </w:r>
          </w:p>
        </w:tc>
        <w:tc>
          <w:tcPr>
            <w:tcW w:w="1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$1,570,128</w:t>
            </w:r>
          </w:p>
        </w:tc>
        <w:tc>
          <w:tcPr>
            <w:tcW w:w="134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$52,632</w:t>
            </w: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$4,924,323</w:t>
            </w:r>
          </w:p>
        </w:tc>
        <w:tc>
          <w:tcPr>
            <w:tcW w:w="0" w:type="dxa"/>
            <w:vAlign w:val="bottom"/>
          </w:tcPr>
          <w:p>
            <w:pPr>
              <w:spacing w:after="0"/>
              <w:rPr>
                <w:sz w:val="1"/>
                <w:szCs w:val="1"/>
                <w:color w:val="auto"/>
              </w:rPr>
            </w:pPr>
          </w:p>
        </w:tc>
      </w:tr>
      <w:tr>
        <w:trPr>
          <w:trHeight w:val="219"/>
        </w:trPr>
        <w:tc>
          <w:tcPr>
            <w:tcW w:w="2840" w:type="dxa"/>
            <w:vAlign w:val="bottom"/>
          </w:tcPr>
          <w:p>
            <w:pPr>
              <w:spacing w:after="0"/>
              <w:rPr>
                <w:sz w:val="19"/>
                <w:szCs w:val="19"/>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2023</w:t>
            </w:r>
          </w:p>
        </w:tc>
        <w:tc>
          <w:tcPr>
            <w:tcW w:w="14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$646,061</w:t>
            </w:r>
          </w:p>
        </w:tc>
        <w:tc>
          <w:tcPr>
            <w:tcW w:w="12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$355,335</w:t>
            </w:r>
          </w:p>
        </w:tc>
        <w:tc>
          <w:tcPr>
            <w:tcW w:w="12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$3,187,536</w:t>
            </w:r>
          </w:p>
        </w:tc>
        <w:tc>
          <w:tcPr>
            <w:tcW w:w="1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$1,812,563</w:t>
            </w:r>
          </w:p>
        </w:tc>
        <w:tc>
          <w:tcPr>
            <w:tcW w:w="134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$56,387</w:t>
            </w: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$6,057,882</w:t>
            </w:r>
          </w:p>
        </w:tc>
        <w:tc>
          <w:tcPr>
            <w:tcW w:w="0" w:type="dxa"/>
            <w:vAlign w:val="bottom"/>
          </w:tcPr>
          <w:p>
            <w:pPr>
              <w:spacing w:after="0"/>
              <w:rPr>
                <w:sz w:val="1"/>
                <w:szCs w:val="1"/>
                <w:color w:val="auto"/>
              </w:rPr>
            </w:pPr>
          </w:p>
        </w:tc>
      </w:tr>
      <w:tr>
        <w:trPr>
          <w:trHeight w:val="21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Kyle W. Gano, Ph.D.</w:t>
            </w: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2021</w:t>
            </w:r>
          </w:p>
        </w:tc>
        <w:tc>
          <w:tcPr>
            <w:tcW w:w="14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$517,000</w:t>
            </w:r>
          </w:p>
        </w:tc>
        <w:tc>
          <w:tcPr>
            <w:tcW w:w="12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$271,425</w:t>
            </w:r>
          </w:p>
        </w:tc>
        <w:tc>
          <w:tcPr>
            <w:tcW w:w="12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$2,625,018</w:t>
            </w:r>
          </w:p>
        </w:tc>
        <w:tc>
          <w:tcPr>
            <w:tcW w:w="1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$2,375,067</w:t>
            </w:r>
          </w:p>
        </w:tc>
        <w:tc>
          <w:tcPr>
            <w:tcW w:w="13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$22,814</w:t>
            </w:r>
          </w:p>
        </w:tc>
        <w:tc>
          <w:tcPr>
            <w:tcW w:w="1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$5,811,324</w:t>
            </w:r>
          </w:p>
        </w:tc>
        <w:tc>
          <w:tcPr>
            <w:tcW w:w="0" w:type="dxa"/>
            <w:vAlign w:val="bottom"/>
          </w:tcPr>
          <w:p>
            <w:pPr>
              <w:spacing w:after="0"/>
              <w:rPr>
                <w:sz w:val="1"/>
                <w:szCs w:val="1"/>
                <w:color w:val="auto"/>
              </w:rPr>
            </w:pPr>
          </w:p>
        </w:tc>
      </w:tr>
      <w:tr>
        <w:trPr>
          <w:trHeight w:val="168"/>
        </w:trPr>
        <w:tc>
          <w:tcPr>
            <w:tcW w:w="2840" w:type="dxa"/>
            <w:vAlign w:val="bottom"/>
            <w:shd w:val="clear" w:color="auto" w:fill="CCEEFF"/>
          </w:tcPr>
          <w:p>
            <w:pPr>
              <w:ind w:left="280"/>
              <w:spacing w:after="0" w:line="168" w:lineRule="exact"/>
              <w:rPr>
                <w:sz w:val="20"/>
                <w:szCs w:val="20"/>
                <w:color w:val="auto"/>
              </w:rPr>
            </w:pPr>
            <w:r>
              <w:rPr>
                <w:rFonts w:ascii="Times New Roman" w:cs="Times New Roman" w:eastAsia="Times New Roman" w:hAnsi="Times New Roman"/>
                <w:sz w:val="16"/>
                <w:szCs w:val="16"/>
                <w:color w:val="auto"/>
              </w:rPr>
              <w:t>Chief Business Development and</w:t>
            </w:r>
          </w:p>
        </w:tc>
        <w:tc>
          <w:tcPr>
            <w:tcW w:w="840" w:type="dxa"/>
            <w:vAlign w:val="bottom"/>
            <w:shd w:val="clear" w:color="auto" w:fill="CCEEFF"/>
          </w:tcPr>
          <w:p>
            <w:pPr>
              <w:ind w:left="260"/>
              <w:spacing w:after="0" w:line="168" w:lineRule="exact"/>
              <w:rPr>
                <w:sz w:val="20"/>
                <w:szCs w:val="20"/>
                <w:color w:val="auto"/>
              </w:rPr>
            </w:pPr>
            <w:r>
              <w:rPr>
                <w:rFonts w:ascii="Times New Roman" w:cs="Times New Roman" w:eastAsia="Times New Roman" w:hAnsi="Times New Roman"/>
                <w:sz w:val="16"/>
                <w:szCs w:val="16"/>
                <w:color w:val="auto"/>
              </w:rPr>
              <w:t>2022</w:t>
            </w:r>
          </w:p>
        </w:tc>
        <w:tc>
          <w:tcPr>
            <w:tcW w:w="1420" w:type="dxa"/>
            <w:vAlign w:val="bottom"/>
            <w:shd w:val="clear" w:color="auto" w:fill="CCEEFF"/>
          </w:tcPr>
          <w:p>
            <w:pPr>
              <w:jc w:val="right"/>
              <w:ind w:right="200"/>
              <w:spacing w:after="0" w:line="168" w:lineRule="exact"/>
              <w:rPr>
                <w:sz w:val="20"/>
                <w:szCs w:val="20"/>
                <w:color w:val="auto"/>
              </w:rPr>
            </w:pPr>
            <w:r>
              <w:rPr>
                <w:rFonts w:ascii="Times New Roman" w:cs="Times New Roman" w:eastAsia="Times New Roman" w:hAnsi="Times New Roman"/>
                <w:sz w:val="16"/>
                <w:szCs w:val="16"/>
                <w:color w:val="auto"/>
              </w:rPr>
              <w:t>$550,605</w:t>
            </w:r>
          </w:p>
        </w:tc>
        <w:tc>
          <w:tcPr>
            <w:tcW w:w="1240" w:type="dxa"/>
            <w:vAlign w:val="bottom"/>
            <w:shd w:val="clear" w:color="auto" w:fill="CCEEFF"/>
          </w:tcPr>
          <w:p>
            <w:pPr>
              <w:jc w:val="right"/>
              <w:ind w:right="180"/>
              <w:spacing w:after="0" w:line="168" w:lineRule="exact"/>
              <w:rPr>
                <w:sz w:val="20"/>
                <w:szCs w:val="20"/>
                <w:color w:val="auto"/>
              </w:rPr>
            </w:pPr>
            <w:r>
              <w:rPr>
                <w:rFonts w:ascii="Times New Roman" w:cs="Times New Roman" w:eastAsia="Times New Roman" w:hAnsi="Times New Roman"/>
                <w:sz w:val="16"/>
                <w:szCs w:val="16"/>
                <w:color w:val="auto"/>
              </w:rPr>
              <w:t>$332,428</w:t>
            </w:r>
          </w:p>
        </w:tc>
        <w:tc>
          <w:tcPr>
            <w:tcW w:w="1240" w:type="dxa"/>
            <w:vAlign w:val="bottom"/>
            <w:shd w:val="clear" w:color="auto" w:fill="CCEEFF"/>
          </w:tcPr>
          <w:p>
            <w:pPr>
              <w:jc w:val="right"/>
              <w:ind w:right="161"/>
              <w:spacing w:after="0" w:line="168" w:lineRule="exact"/>
              <w:rPr>
                <w:sz w:val="20"/>
                <w:szCs w:val="20"/>
                <w:color w:val="auto"/>
              </w:rPr>
            </w:pPr>
            <w:r>
              <w:rPr>
                <w:rFonts w:ascii="Times New Roman" w:cs="Times New Roman" w:eastAsia="Times New Roman" w:hAnsi="Times New Roman"/>
                <w:sz w:val="16"/>
                <w:szCs w:val="16"/>
                <w:color w:val="auto"/>
              </w:rPr>
              <w:t>$2,775,053</w:t>
            </w:r>
          </w:p>
        </w:tc>
        <w:tc>
          <w:tcPr>
            <w:tcW w:w="1160" w:type="dxa"/>
            <w:vAlign w:val="bottom"/>
            <w:shd w:val="clear" w:color="auto" w:fill="CCEEFF"/>
          </w:tcPr>
          <w:p>
            <w:pPr>
              <w:ind w:left="280"/>
              <w:spacing w:after="0" w:line="168" w:lineRule="exact"/>
              <w:rPr>
                <w:sz w:val="20"/>
                <w:szCs w:val="20"/>
                <w:color w:val="auto"/>
              </w:rPr>
            </w:pPr>
            <w:r>
              <w:rPr>
                <w:rFonts w:ascii="Times New Roman" w:cs="Times New Roman" w:eastAsia="Times New Roman" w:hAnsi="Times New Roman"/>
                <w:sz w:val="16"/>
                <w:szCs w:val="16"/>
                <w:color w:val="auto"/>
              </w:rPr>
              <w:t>$1,725,086</w:t>
            </w:r>
          </w:p>
        </w:tc>
        <w:tc>
          <w:tcPr>
            <w:tcW w:w="1340" w:type="dxa"/>
            <w:vAlign w:val="bottom"/>
            <w:shd w:val="clear" w:color="auto" w:fill="CCEEFF"/>
          </w:tcPr>
          <w:p>
            <w:pPr>
              <w:jc w:val="right"/>
              <w:ind w:right="141"/>
              <w:spacing w:after="0" w:line="168" w:lineRule="exact"/>
              <w:rPr>
                <w:sz w:val="20"/>
                <w:szCs w:val="20"/>
                <w:color w:val="auto"/>
              </w:rPr>
            </w:pPr>
            <w:r>
              <w:rPr>
                <w:rFonts w:ascii="Times New Roman" w:cs="Times New Roman" w:eastAsia="Times New Roman" w:hAnsi="Times New Roman"/>
                <w:sz w:val="16"/>
                <w:szCs w:val="16"/>
                <w:color w:val="auto"/>
              </w:rPr>
              <w:t>$38,485</w:t>
            </w:r>
          </w:p>
        </w:tc>
        <w:tc>
          <w:tcPr>
            <w:tcW w:w="1120" w:type="dxa"/>
            <w:vAlign w:val="bottom"/>
            <w:shd w:val="clear" w:color="auto" w:fill="CCEEFF"/>
          </w:tcPr>
          <w:p>
            <w:pPr>
              <w:jc w:val="right"/>
              <w:ind w:right="20"/>
              <w:spacing w:after="0" w:line="168" w:lineRule="exact"/>
              <w:rPr>
                <w:sz w:val="20"/>
                <w:szCs w:val="20"/>
                <w:color w:val="auto"/>
              </w:rPr>
            </w:pPr>
            <w:r>
              <w:rPr>
                <w:rFonts w:ascii="Times New Roman" w:cs="Times New Roman" w:eastAsia="Times New Roman" w:hAnsi="Times New Roman"/>
                <w:sz w:val="16"/>
                <w:szCs w:val="16"/>
                <w:color w:val="auto"/>
              </w:rPr>
              <w:t>$5,421,657</w:t>
            </w: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Strategy Officer</w:t>
            </w:r>
          </w:p>
        </w:tc>
        <w:tc>
          <w:tcPr>
            <w:tcW w:w="8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2023</w:t>
            </w:r>
          </w:p>
        </w:tc>
        <w:tc>
          <w:tcPr>
            <w:tcW w:w="1420" w:type="dxa"/>
            <w:vAlign w:val="bottom"/>
            <w:tcBorders>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$602,912</w:t>
            </w:r>
          </w:p>
        </w:tc>
        <w:tc>
          <w:tcPr>
            <w:tcW w:w="1240" w:type="dxa"/>
            <w:vAlign w:val="bottom"/>
            <w:tcBorders>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$331,602</w:t>
            </w:r>
          </w:p>
        </w:tc>
        <w:tc>
          <w:tcPr>
            <w:tcW w:w="124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$3,187,536</w:t>
            </w:r>
          </w:p>
        </w:tc>
        <w:tc>
          <w:tcPr>
            <w:tcW w:w="1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$1,812,563</w:t>
            </w:r>
          </w:p>
        </w:tc>
        <w:tc>
          <w:tcPr>
            <w:tcW w:w="134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$55,602</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$5,990,215</w:t>
            </w:r>
          </w:p>
        </w:tc>
        <w:tc>
          <w:tcPr>
            <w:tcW w:w="0" w:type="dxa"/>
            <w:vAlign w:val="bottom"/>
          </w:tcPr>
          <w:p>
            <w:pPr>
              <w:spacing w:after="0"/>
              <w:rPr>
                <w:sz w:val="1"/>
                <w:szCs w:val="1"/>
                <w:color w:val="auto"/>
              </w:rPr>
            </w:pPr>
          </w:p>
        </w:tc>
      </w:tr>
      <w:tr>
        <w:trPr>
          <w:trHeight w:val="210"/>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Jude Onyia, Ph.D.</w:t>
            </w:r>
          </w:p>
        </w:tc>
        <w:tc>
          <w:tcPr>
            <w:tcW w:w="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2021</w:t>
            </w:r>
          </w:p>
        </w:tc>
        <w:tc>
          <w:tcPr>
            <w:tcW w:w="14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$52,340</w:t>
            </w:r>
          </w:p>
        </w:tc>
        <w:tc>
          <w:tcPr>
            <w:tcW w:w="12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$26,170</w:t>
            </w:r>
          </w:p>
        </w:tc>
        <w:tc>
          <w:tcPr>
            <w:tcW w:w="12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$4,500,035</w:t>
            </w:r>
          </w:p>
        </w:tc>
        <w:tc>
          <w:tcPr>
            <w:tcW w:w="1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$3,000,136</w:t>
            </w:r>
          </w:p>
        </w:tc>
        <w:tc>
          <w:tcPr>
            <w:tcW w:w="134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$2,949</w:t>
            </w: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$7,581,630</w:t>
            </w:r>
          </w:p>
        </w:tc>
        <w:tc>
          <w:tcPr>
            <w:tcW w:w="0" w:type="dxa"/>
            <w:vAlign w:val="bottom"/>
          </w:tcPr>
          <w:p>
            <w:pPr>
              <w:spacing w:after="0"/>
              <w:rPr>
                <w:sz w:val="1"/>
                <w:szCs w:val="1"/>
                <w:color w:val="auto"/>
              </w:rPr>
            </w:pPr>
          </w:p>
        </w:tc>
      </w:tr>
      <w:tr>
        <w:trPr>
          <w:trHeight w:val="216"/>
        </w:trPr>
        <w:tc>
          <w:tcPr>
            <w:tcW w:w="28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Chief Scientific Officer</w:t>
            </w:r>
          </w:p>
        </w:tc>
        <w:tc>
          <w:tcPr>
            <w:tcW w:w="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2022</w:t>
            </w:r>
          </w:p>
        </w:tc>
        <w:tc>
          <w:tcPr>
            <w:tcW w:w="14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$575,000</w:t>
            </w:r>
          </w:p>
        </w:tc>
        <w:tc>
          <w:tcPr>
            <w:tcW w:w="12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$330,625</w:t>
            </w:r>
          </w:p>
        </w:tc>
        <w:tc>
          <w:tcPr>
            <w:tcW w:w="12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$225,008</w:t>
            </w:r>
          </w:p>
        </w:tc>
        <w:tc>
          <w:tcPr>
            <w:tcW w:w="1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$1,275,146</w:t>
            </w:r>
          </w:p>
        </w:tc>
        <w:tc>
          <w:tcPr>
            <w:tcW w:w="134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$55,520</w:t>
            </w: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$2,461,299</w:t>
            </w:r>
          </w:p>
        </w:tc>
        <w:tc>
          <w:tcPr>
            <w:tcW w:w="0" w:type="dxa"/>
            <w:vAlign w:val="bottom"/>
          </w:tcPr>
          <w:p>
            <w:pPr>
              <w:spacing w:after="0"/>
              <w:rPr>
                <w:sz w:val="1"/>
                <w:szCs w:val="1"/>
                <w:color w:val="auto"/>
              </w:rPr>
            </w:pPr>
          </w:p>
        </w:tc>
      </w:tr>
      <w:tr>
        <w:trPr>
          <w:trHeight w:val="219"/>
        </w:trPr>
        <w:tc>
          <w:tcPr>
            <w:tcW w:w="2840" w:type="dxa"/>
            <w:vAlign w:val="bottom"/>
          </w:tcPr>
          <w:p>
            <w:pPr>
              <w:spacing w:after="0"/>
              <w:rPr>
                <w:sz w:val="19"/>
                <w:szCs w:val="19"/>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2023</w:t>
            </w:r>
          </w:p>
        </w:tc>
        <w:tc>
          <w:tcPr>
            <w:tcW w:w="14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$638,250</w:t>
            </w:r>
          </w:p>
        </w:tc>
        <w:tc>
          <w:tcPr>
            <w:tcW w:w="12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$351,038</w:t>
            </w:r>
          </w:p>
        </w:tc>
        <w:tc>
          <w:tcPr>
            <w:tcW w:w="12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$3,375,024</w:t>
            </w:r>
          </w:p>
        </w:tc>
        <w:tc>
          <w:tcPr>
            <w:tcW w:w="1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$2,625,124</w:t>
            </w:r>
          </w:p>
        </w:tc>
        <w:tc>
          <w:tcPr>
            <w:tcW w:w="134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$233,780</w:t>
            </w: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$7,223,216</w:t>
            </w:r>
          </w:p>
        </w:tc>
        <w:tc>
          <w:tcPr>
            <w:tcW w:w="0" w:type="dxa"/>
            <w:vAlign w:val="bottom"/>
          </w:tcPr>
          <w:p>
            <w:pPr>
              <w:spacing w:after="0"/>
              <w:rPr>
                <w:sz w:val="1"/>
                <w:szCs w:val="1"/>
                <w:color w:val="auto"/>
              </w:rPr>
            </w:pPr>
          </w:p>
        </w:tc>
      </w:tr>
      <w:tr>
        <w:trPr>
          <w:trHeight w:val="21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Eiry W. Roberts, M.D.</w:t>
            </w: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2021</w:t>
            </w:r>
          </w:p>
        </w:tc>
        <w:tc>
          <w:tcPr>
            <w:tcW w:w="14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$604,700</w:t>
            </w:r>
          </w:p>
        </w:tc>
        <w:tc>
          <w:tcPr>
            <w:tcW w:w="12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$272,115</w:t>
            </w:r>
          </w:p>
        </w:tc>
        <w:tc>
          <w:tcPr>
            <w:tcW w:w="12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$2,625,019</w:t>
            </w:r>
          </w:p>
        </w:tc>
        <w:tc>
          <w:tcPr>
            <w:tcW w:w="1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$2,875,113</w:t>
            </w:r>
          </w:p>
        </w:tc>
        <w:tc>
          <w:tcPr>
            <w:tcW w:w="13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$48,649</w:t>
            </w:r>
          </w:p>
        </w:tc>
        <w:tc>
          <w:tcPr>
            <w:tcW w:w="1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$6,425,596</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Chief Medical Officer</w:t>
            </w: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2022</w:t>
            </w:r>
          </w:p>
        </w:tc>
        <w:tc>
          <w:tcPr>
            <w:tcW w:w="14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$631,912</w:t>
            </w:r>
          </w:p>
        </w:tc>
        <w:tc>
          <w:tcPr>
            <w:tcW w:w="12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$345,182</w:t>
            </w:r>
          </w:p>
        </w:tc>
        <w:tc>
          <w:tcPr>
            <w:tcW w:w="12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$2,625,057</w:t>
            </w:r>
          </w:p>
        </w:tc>
        <w:tc>
          <w:tcPr>
            <w:tcW w:w="1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$2,075,144</w:t>
            </w:r>
          </w:p>
        </w:tc>
        <w:tc>
          <w:tcPr>
            <w:tcW w:w="13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$57,986</w:t>
            </w:r>
          </w:p>
        </w:tc>
        <w:tc>
          <w:tcPr>
            <w:tcW w:w="1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$5,735,281</w:t>
            </w:r>
          </w:p>
        </w:tc>
        <w:tc>
          <w:tcPr>
            <w:tcW w:w="0" w:type="dxa"/>
            <w:vAlign w:val="bottom"/>
          </w:tcPr>
          <w:p>
            <w:pPr>
              <w:spacing w:after="0"/>
              <w:rPr>
                <w:sz w:val="1"/>
                <w:szCs w:val="1"/>
                <w:color w:val="auto"/>
              </w:rPr>
            </w:pPr>
          </w:p>
        </w:tc>
      </w:tr>
      <w:tr>
        <w:trPr>
          <w:trHeight w:val="222"/>
        </w:trPr>
        <w:tc>
          <w:tcPr>
            <w:tcW w:w="2840" w:type="dxa"/>
            <w:vAlign w:val="bottom"/>
            <w:shd w:val="clear" w:color="auto" w:fill="CCEEFF"/>
          </w:tcPr>
          <w:p>
            <w:pPr>
              <w:spacing w:after="0"/>
              <w:rPr>
                <w:sz w:val="19"/>
                <w:szCs w:val="19"/>
                <w:color w:val="auto"/>
              </w:rPr>
            </w:pP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2023</w:t>
            </w:r>
          </w:p>
        </w:tc>
        <w:tc>
          <w:tcPr>
            <w:tcW w:w="14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$660,348</w:t>
            </w:r>
          </w:p>
        </w:tc>
        <w:tc>
          <w:tcPr>
            <w:tcW w:w="12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$399,511</w:t>
            </w:r>
          </w:p>
        </w:tc>
        <w:tc>
          <w:tcPr>
            <w:tcW w:w="12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$2,625,024</w:t>
            </w:r>
          </w:p>
        </w:tc>
        <w:tc>
          <w:tcPr>
            <w:tcW w:w="1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$2,125,112</w:t>
            </w:r>
          </w:p>
        </w:tc>
        <w:tc>
          <w:tcPr>
            <w:tcW w:w="13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$63,852</w:t>
            </w:r>
          </w:p>
        </w:tc>
        <w:tc>
          <w:tcPr>
            <w:tcW w:w="1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$5,873,847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9" w:lineRule="exact"/>
        <w:rPr>
          <w:sz w:val="20"/>
          <w:szCs w:val="20"/>
          <w:color w:val="auto"/>
        </w:rPr>
      </w:pPr>
    </w:p>
    <w:p>
      <w:pPr>
        <w:ind w:left="560" w:hanging="552"/>
        <w:spacing w:after="0"/>
        <w:tabs>
          <w:tab w:leader="none" w:pos="5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titles and capacities set forth in the table above are as of December 31, 2023.</w:t>
      </w:r>
    </w:p>
    <w:p>
      <w:pPr>
        <w:spacing w:after="0" w:line="28" w:lineRule="exact"/>
        <w:rPr>
          <w:rFonts w:ascii="Times New Roman" w:cs="Times New Roman" w:eastAsia="Times New Roman" w:hAnsi="Times New Roman"/>
          <w:sz w:val="14"/>
          <w:szCs w:val="14"/>
          <w:color w:val="auto"/>
        </w:rPr>
      </w:pPr>
    </w:p>
    <w:p>
      <w:pPr>
        <w:ind w:left="580" w:right="120" w:hanging="572"/>
        <w:spacing w:after="0" w:line="261" w:lineRule="auto"/>
        <w:tabs>
          <w:tab w:leader="none" w:pos="57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Salary and bonus figures represent amounts earned during each respective fiscal year, regardless of whether part or all of such amounts were paid in subsequent fiscal year(s). Bonuses are awarded pursuant to a bonus program.</w:t>
      </w:r>
    </w:p>
    <w:p>
      <w:pPr>
        <w:ind w:left="580" w:hanging="572"/>
        <w:spacing w:after="0" w:line="225" w:lineRule="auto"/>
        <w:tabs>
          <w:tab w:leader="none" w:pos="57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are the full grant date fair value in accordance with Accounting Standards Codification 718-10, Compensation—Stock Compensation (ASC 718). The assumptions used to calculate the grant date fair value of option awards are set forth under Note 9 of the Notes to the Consolidated Financial Statements included in the Company’s Annual Report on Form 10-K for the year ended December 31, 2023 filed with the SEC on February 9, 2024. The grant date fair values of option awards for 2021, 2022 and 2023 (other than Dr. Onyia's 2021 new hire award) are based on per share Black-Scholes values of $53.52, $34.81 and $49.97, respectively. The grant date fair value of Dr. Onyia's new hire option award granted in 2021 is based on per share Black-Scholes value of $37.45.</w:t>
      </w:r>
    </w:p>
    <w:p>
      <w:pPr>
        <w:spacing w:after="0" w:line="14" w:lineRule="exact"/>
        <w:rPr>
          <w:rFonts w:ascii="Times New Roman" w:cs="Times New Roman" w:eastAsia="Times New Roman" w:hAnsi="Times New Roman"/>
          <w:sz w:val="14"/>
          <w:szCs w:val="14"/>
          <w:color w:val="auto"/>
        </w:rPr>
      </w:pPr>
    </w:p>
    <w:p>
      <w:pPr>
        <w:ind w:left="580" w:hanging="572"/>
        <w:spacing w:after="0" w:line="221" w:lineRule="auto"/>
        <w:tabs>
          <w:tab w:leader="none" w:pos="57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awards consist of RSUs and PRSUs and may be subject to deferred delivery arrangements. The amounts shown are the full grant date fair value in accordance with Accounting Standards Codification 718-10, Compensation—Stock Compensation (ASC 718). The assumptions used to calculate the grant date fair value of stock awards are set forth under Note 9 of the Notes to the Consolidated Financial Statements included in the Company’s Annual Report on Form 10-K for the year ended December 31, 2023 filed with the SEC on February 9, 2024. The fair values of RSUs and PRSUs granted in 2021, 2022 and RSUs granted in 2023 are based on the Company’s closing market price per share on the grant date, which was $117.63 for all 2021 grants, $79.02 for all 2022 grants and $103.52 for all 2023 RSU grants (other than Dr. Onyia's 2021 new hire grant, for which the Company's closing market price per share on the grant date was $84.74). The fair values of PRSUs granted in 2023 are based on the Company's closing market price per share on the grant date, which was $94.06 for 2023 PRSU grants. The PRSU values included in the table above are based on the target number of shares subject to the PRSU awards. If the highest level of performance metrics are achieved, the PRSU values based on the maximum number of shares issuable to each NEO for 2023 are as follows: Dr. Gorman – $9,590,075, Mr. Abernethy – $1,499,975, Dr. Gano – $1,499,975, Dr. Onyia – $2,999,950, and Dr. Roberts – $2,500,021.</w:t>
      </w:r>
    </w:p>
    <w:p>
      <w:pPr>
        <w:spacing w:after="0" w:line="15" w:lineRule="exact"/>
        <w:rPr>
          <w:rFonts w:ascii="Times New Roman" w:cs="Times New Roman" w:eastAsia="Times New Roman" w:hAnsi="Times New Roman"/>
          <w:sz w:val="14"/>
          <w:szCs w:val="14"/>
          <w:color w:val="auto"/>
        </w:rPr>
      </w:pPr>
    </w:p>
    <w:p>
      <w:pPr>
        <w:ind w:left="560" w:hanging="552"/>
        <w:spacing w:after="0"/>
        <w:tabs>
          <w:tab w:leader="none" w:pos="5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all other compensation as described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Other Compensation Table</w:t>
      </w:r>
    </w:p>
    <w:p>
      <w:pPr>
        <w:spacing w:after="0" w:line="235"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401(k)</w:t>
            </w:r>
          </w:p>
        </w:tc>
        <w:tc>
          <w:tcPr>
            <w:tcW w:w="1280" w:type="dxa"/>
            <w:vAlign w:val="bottom"/>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3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Inducement</w:t>
            </w:r>
          </w:p>
        </w:tc>
        <w:tc>
          <w:tcPr>
            <w:tcW w:w="1320" w:type="dxa"/>
            <w:vAlign w:val="bottom"/>
          </w:tcPr>
          <w:p>
            <w:pPr>
              <w:spacing w:after="0"/>
              <w:rPr>
                <w:sz w:val="13"/>
                <w:szCs w:val="13"/>
                <w:color w:val="auto"/>
              </w:rPr>
            </w:pPr>
          </w:p>
        </w:tc>
        <w:tc>
          <w:tcPr>
            <w:tcW w:w="1060" w:type="dxa"/>
            <w:vAlign w:val="bottom"/>
            <w:vMerge w:val="restart"/>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300" w:type="dxa"/>
            <w:vAlign w:val="bottom"/>
          </w:tcPr>
          <w:p>
            <w:pPr>
              <w:jc w:val="right"/>
              <w:ind w:right="304"/>
              <w:spacing w:after="0" w:line="149" w:lineRule="exact"/>
              <w:rPr>
                <w:sz w:val="20"/>
                <w:szCs w:val="20"/>
                <w:color w:val="auto"/>
              </w:rPr>
            </w:pPr>
            <w:r>
              <w:rPr>
                <w:rFonts w:ascii="Times New Roman" w:cs="Times New Roman" w:eastAsia="Times New Roman" w:hAnsi="Times New Roman"/>
                <w:sz w:val="14"/>
                <w:szCs w:val="14"/>
                <w:b w:val="1"/>
                <w:bCs w:val="1"/>
                <w:color w:val="auto"/>
              </w:rPr>
              <w:t>Employer</w:t>
            </w:r>
          </w:p>
        </w:tc>
        <w:tc>
          <w:tcPr>
            <w:tcW w:w="128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Other (3)</w:t>
            </w: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6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Match</w:t>
            </w:r>
          </w:p>
        </w:tc>
        <w:tc>
          <w:tcPr>
            <w:tcW w:w="12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Premiums (1)</w:t>
            </w:r>
          </w:p>
        </w:tc>
        <w:tc>
          <w:tcPr>
            <w:tcW w:w="1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Advance (2)</w:t>
            </w:r>
          </w:p>
        </w:tc>
        <w:tc>
          <w:tcPr>
            <w:tcW w:w="132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Kevin C. Gorman, Ph.D.</w:t>
            </w: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2021</w:t>
            </w:r>
          </w:p>
        </w:tc>
        <w:tc>
          <w:tcPr>
            <w:tcW w:w="13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$17,100</w:t>
            </w:r>
          </w:p>
        </w:tc>
        <w:tc>
          <w:tcPr>
            <w:tcW w:w="1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$37,944</w:t>
            </w:r>
          </w:p>
        </w:tc>
        <w:tc>
          <w:tcPr>
            <w:tcW w:w="13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$55,044</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18"/>
                <w:szCs w:val="18"/>
                <w:color w:val="auto"/>
              </w:rPr>
            </w:pP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2022</w:t>
            </w:r>
          </w:p>
        </w:tc>
        <w:tc>
          <w:tcPr>
            <w:tcW w:w="13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$18,500</w:t>
            </w:r>
          </w:p>
        </w:tc>
        <w:tc>
          <w:tcPr>
            <w:tcW w:w="1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$34,842</w:t>
            </w:r>
          </w:p>
        </w:tc>
        <w:tc>
          <w:tcPr>
            <w:tcW w:w="13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$53,342</w:t>
            </w:r>
          </w:p>
        </w:tc>
        <w:tc>
          <w:tcPr>
            <w:tcW w:w="0" w:type="dxa"/>
            <w:vAlign w:val="bottom"/>
          </w:tcPr>
          <w:p>
            <w:pPr>
              <w:spacing w:after="0"/>
              <w:rPr>
                <w:sz w:val="1"/>
                <w:szCs w:val="1"/>
                <w:color w:val="auto"/>
              </w:rPr>
            </w:pPr>
          </w:p>
        </w:tc>
      </w:tr>
      <w:tr>
        <w:trPr>
          <w:trHeight w:val="222"/>
        </w:trPr>
        <w:tc>
          <w:tcPr>
            <w:tcW w:w="3860" w:type="dxa"/>
            <w:vAlign w:val="bottom"/>
            <w:shd w:val="clear" w:color="auto" w:fill="CCEEFF"/>
          </w:tcPr>
          <w:p>
            <w:pPr>
              <w:spacing w:after="0"/>
              <w:rPr>
                <w:sz w:val="19"/>
                <w:szCs w:val="19"/>
                <w:color w:val="auto"/>
              </w:rPr>
            </w:pP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2023</w:t>
            </w:r>
          </w:p>
        </w:tc>
        <w:tc>
          <w:tcPr>
            <w:tcW w:w="13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$19,800</w:t>
            </w:r>
          </w:p>
        </w:tc>
        <w:tc>
          <w:tcPr>
            <w:tcW w:w="1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$44,236</w:t>
            </w:r>
          </w:p>
        </w:tc>
        <w:tc>
          <w:tcPr>
            <w:tcW w:w="13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$64,036</w:t>
            </w:r>
          </w:p>
        </w:tc>
        <w:tc>
          <w:tcPr>
            <w:tcW w:w="0" w:type="dxa"/>
            <w:vAlign w:val="bottom"/>
          </w:tcPr>
          <w:p>
            <w:pPr>
              <w:spacing w:after="0"/>
              <w:rPr>
                <w:sz w:val="1"/>
                <w:szCs w:val="1"/>
                <w:color w:val="auto"/>
              </w:rPr>
            </w:pPr>
          </w:p>
        </w:tc>
      </w:tr>
    </w:tbl>
    <w:p>
      <w:pPr>
        <w:spacing w:after="0" w:line="54" w:lineRule="exact"/>
        <w:rPr>
          <w:sz w:val="20"/>
          <w:szCs w:val="20"/>
          <w:color w:val="auto"/>
        </w:rPr>
      </w:pPr>
    </w:p>
    <w:p>
      <w:pPr>
        <w:sectPr>
          <w:pgSz w:w="11900" w:h="16838" w:orient="portrait"/>
          <w:cols w:equalWidth="0" w:num="1">
            <w:col w:w="11180"/>
          </w:cols>
          <w:pgMar w:left="320" w:top="112" w:right="399" w:bottom="1440" w:gutter="0" w:footer="0" w:header="0"/>
        </w:sectPr>
      </w:pPr>
    </w:p>
    <w:tbl>
      <w:tblPr>
        <w:tblLayout w:type="fixed"/>
        <w:tblInd w:w="160" w:type="dxa"/>
        <w:tblCellMar>
          <w:top w:w="0" w:type="dxa"/>
          <w:left w:w="0" w:type="dxa"/>
          <w:bottom w:w="0" w:type="dxa"/>
          <w:right w:w="0" w:type="dxa"/>
        </w:tblCellMar>
      </w:tblPr>
      <w:tr>
        <w:trPr>
          <w:trHeight w:val="210"/>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Matthew C. Abernethy</w:t>
            </w:r>
          </w:p>
        </w:tc>
        <w:tc>
          <w:tcPr>
            <w:tcW w:w="20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2021</w:t>
            </w:r>
          </w:p>
        </w:tc>
        <w:tc>
          <w:tcPr>
            <w:tcW w:w="13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$17,100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$33,431</w:t>
            </w:r>
          </w:p>
        </w:tc>
      </w:tr>
      <w:tr>
        <w:trPr>
          <w:trHeight w:val="216"/>
        </w:trPr>
        <w:tc>
          <w:tcPr>
            <w:tcW w:w="2780" w:type="dxa"/>
            <w:vAlign w:val="bottom"/>
          </w:tcPr>
          <w:p>
            <w:pPr>
              <w:spacing w:after="0"/>
              <w:rPr>
                <w:sz w:val="18"/>
                <w:szCs w:val="18"/>
                <w:color w:val="auto"/>
              </w:rPr>
            </w:pPr>
          </w:p>
        </w:tc>
        <w:tc>
          <w:tcPr>
            <w:tcW w:w="20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2022</w:t>
            </w:r>
          </w:p>
        </w:tc>
        <w:tc>
          <w:tcPr>
            <w:tcW w:w="13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$18,500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$32,732</w:t>
            </w:r>
          </w:p>
        </w:tc>
      </w:tr>
      <w:tr>
        <w:trPr>
          <w:trHeight w:val="216"/>
        </w:trPr>
        <w:tc>
          <w:tcPr>
            <w:tcW w:w="2780" w:type="dxa"/>
            <w:vAlign w:val="bottom"/>
          </w:tcPr>
          <w:p>
            <w:pPr>
              <w:spacing w:after="0"/>
              <w:rPr>
                <w:sz w:val="18"/>
                <w:szCs w:val="18"/>
                <w:color w:val="auto"/>
              </w:rPr>
            </w:pPr>
          </w:p>
        </w:tc>
        <w:tc>
          <w:tcPr>
            <w:tcW w:w="20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2023</w:t>
            </w:r>
          </w:p>
        </w:tc>
        <w:tc>
          <w:tcPr>
            <w:tcW w:w="13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$19,800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$34,987</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8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$2,472</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$53,003</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$1,400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$52,632</w:t>
            </w: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$1,600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$56,387</w:t>
            </w:r>
          </w:p>
        </w:tc>
      </w:tr>
    </w:tbl>
    <w:p>
      <w:pPr>
        <w:spacing w:after="0" w:line="20" w:lineRule="exact"/>
        <w:rPr>
          <w:sz w:val="20"/>
          <w:szCs w:val="20"/>
          <w:color w:val="auto"/>
        </w:rPr>
      </w:pPr>
    </w:p>
    <w:p>
      <w:pPr>
        <w:sectPr>
          <w:pgSz w:w="11900" w:h="16838" w:orient="portrait"/>
          <w:cols w:equalWidth="0" w:num="2">
            <w:col w:w="7720" w:space="720"/>
            <w:col w:w="2740"/>
          </w:cols>
          <w:pgMar w:left="320" w:top="112" w:right="399" w:bottom="1440" w:gutter="0" w:footer="0" w:header="0"/>
          <w:type w:val="continuous"/>
        </w:sectPr>
      </w:pPr>
    </w:p>
    <w:tbl>
      <w:tblPr>
        <w:tblLayout w:type="fixed"/>
        <w:tblInd w:w="140" w:type="dxa"/>
        <w:tblCellMar>
          <w:top w:w="0" w:type="dxa"/>
          <w:left w:w="0" w:type="dxa"/>
          <w:bottom w:w="0" w:type="dxa"/>
          <w:right w:w="0" w:type="dxa"/>
        </w:tblCellMar>
      </w:tblPr>
      <w:tr>
        <w:trPr>
          <w:trHeight w:val="40"/>
        </w:trPr>
        <w:tc>
          <w:tcPr>
            <w:tcW w:w="3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5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Kyle W. Gano, Ph.D.</w:t>
            </w:r>
          </w:p>
        </w:tc>
        <w:tc>
          <w:tcPr>
            <w:tcW w:w="8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2021</w:t>
            </w:r>
          </w:p>
        </w:tc>
        <w:tc>
          <w:tcPr>
            <w:tcW w:w="154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rPr>
              <w:t>$15,510</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$7,304</w:t>
            </w:r>
          </w:p>
        </w:tc>
        <w:tc>
          <w:tcPr>
            <w:tcW w:w="12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$22,814</w:t>
            </w:r>
          </w:p>
        </w:tc>
      </w:tr>
      <w:tr>
        <w:trPr>
          <w:trHeight w:val="216"/>
        </w:trPr>
        <w:tc>
          <w:tcPr>
            <w:tcW w:w="38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2022</w:t>
            </w:r>
          </w:p>
        </w:tc>
        <w:tc>
          <w:tcPr>
            <w:tcW w:w="154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rPr>
              <w:t>$17,895</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$20,590</w:t>
            </w:r>
          </w:p>
        </w:tc>
        <w:tc>
          <w:tcPr>
            <w:tcW w:w="12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$38,485</w:t>
            </w:r>
          </w:p>
        </w:tc>
      </w:tr>
      <w:tr>
        <w:trPr>
          <w:trHeight w:val="222"/>
        </w:trPr>
        <w:tc>
          <w:tcPr>
            <w:tcW w:w="38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2023</w:t>
            </w:r>
          </w:p>
        </w:tc>
        <w:tc>
          <w:tcPr>
            <w:tcW w:w="154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rPr>
              <w:t>$19,800</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$33,155</w:t>
            </w:r>
          </w:p>
        </w:tc>
        <w:tc>
          <w:tcPr>
            <w:tcW w:w="12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shd w:val="clear" w:color="auto" w:fill="CCEEFF"/>
          </w:tcPr>
          <w:p>
            <w:pPr>
              <w:jc w:val="right"/>
              <w:ind w:right="265"/>
              <w:spacing w:after="0"/>
              <w:rPr>
                <w:sz w:val="20"/>
                <w:szCs w:val="20"/>
                <w:color w:val="auto"/>
              </w:rPr>
            </w:pPr>
            <w:r>
              <w:rPr>
                <w:rFonts w:ascii="Times New Roman" w:cs="Times New Roman" w:eastAsia="Times New Roman" w:hAnsi="Times New Roman"/>
                <w:sz w:val="16"/>
                <w:szCs w:val="16"/>
                <w:color w:val="auto"/>
              </w:rPr>
              <w:t>$2,647</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$55,602</w:t>
            </w:r>
          </w:p>
        </w:tc>
      </w:tr>
      <w:tr>
        <w:trPr>
          <w:trHeight w:val="264"/>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Jude Onyia, Ph.D.</w:t>
            </w:r>
          </w:p>
        </w:tc>
        <w:tc>
          <w:tcPr>
            <w:tcW w:w="8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2021</w:t>
            </w:r>
          </w:p>
        </w:tc>
        <w:tc>
          <w:tcPr>
            <w:tcW w:w="1540" w:type="dxa"/>
            <w:vAlign w:val="bottom"/>
          </w:tcPr>
          <w:p>
            <w:pPr>
              <w:jc w:val="right"/>
              <w:ind w:right="262"/>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$2,249</w:t>
            </w:r>
          </w:p>
        </w:tc>
        <w:tc>
          <w:tcPr>
            <w:tcW w:w="124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Pr>
          <w:p>
            <w:pPr>
              <w:jc w:val="right"/>
              <w:ind w:right="265"/>
              <w:spacing w:after="0"/>
              <w:rPr>
                <w:sz w:val="20"/>
                <w:szCs w:val="20"/>
                <w:color w:val="auto"/>
              </w:rPr>
            </w:pPr>
            <w:r>
              <w:rPr>
                <w:rFonts w:ascii="Times New Roman" w:cs="Times New Roman" w:eastAsia="Times New Roman" w:hAnsi="Times New Roman"/>
                <w:sz w:val="16"/>
                <w:szCs w:val="16"/>
                <w:color w:val="auto"/>
              </w:rPr>
              <w:t>$700</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$2,949</w:t>
            </w:r>
          </w:p>
        </w:tc>
      </w:tr>
      <w:tr>
        <w:trPr>
          <w:trHeight w:val="216"/>
        </w:trPr>
        <w:tc>
          <w:tcPr>
            <w:tcW w:w="3860" w:type="dxa"/>
            <w:vAlign w:val="bottom"/>
          </w:tcPr>
          <w:p>
            <w:pPr>
              <w:spacing w:after="0"/>
              <w:rPr>
                <w:sz w:val="18"/>
                <w:szCs w:val="18"/>
                <w:color w:val="auto"/>
              </w:rPr>
            </w:pPr>
          </w:p>
        </w:tc>
        <w:tc>
          <w:tcPr>
            <w:tcW w:w="8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2022</w:t>
            </w:r>
          </w:p>
        </w:tc>
        <w:tc>
          <w:tcPr>
            <w:tcW w:w="154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$18,500</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$35,620</w:t>
            </w:r>
          </w:p>
        </w:tc>
        <w:tc>
          <w:tcPr>
            <w:tcW w:w="124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Pr>
          <w:p>
            <w:pPr>
              <w:jc w:val="right"/>
              <w:ind w:right="265"/>
              <w:spacing w:after="0"/>
              <w:rPr>
                <w:sz w:val="20"/>
                <w:szCs w:val="20"/>
                <w:color w:val="auto"/>
              </w:rPr>
            </w:pPr>
            <w:r>
              <w:rPr>
                <w:rFonts w:ascii="Times New Roman" w:cs="Times New Roman" w:eastAsia="Times New Roman" w:hAnsi="Times New Roman"/>
                <w:sz w:val="16"/>
                <w:szCs w:val="16"/>
                <w:color w:val="auto"/>
              </w:rPr>
              <w:t>$1,400</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$55,520</w:t>
            </w:r>
          </w:p>
        </w:tc>
      </w:tr>
      <w:tr>
        <w:trPr>
          <w:trHeight w:val="216"/>
        </w:trPr>
        <w:tc>
          <w:tcPr>
            <w:tcW w:w="3860" w:type="dxa"/>
            <w:vAlign w:val="bottom"/>
          </w:tcPr>
          <w:p>
            <w:pPr>
              <w:spacing w:after="0"/>
              <w:rPr>
                <w:sz w:val="18"/>
                <w:szCs w:val="18"/>
                <w:color w:val="auto"/>
              </w:rPr>
            </w:pPr>
          </w:p>
        </w:tc>
        <w:tc>
          <w:tcPr>
            <w:tcW w:w="8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2023</w:t>
            </w:r>
          </w:p>
        </w:tc>
        <w:tc>
          <w:tcPr>
            <w:tcW w:w="154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rPr>
              <w:t>$19,800</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$37,380</w:t>
            </w:r>
          </w:p>
        </w:tc>
        <w:tc>
          <w:tcPr>
            <w:tcW w:w="12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$175,000</w:t>
            </w:r>
          </w:p>
        </w:tc>
        <w:tc>
          <w:tcPr>
            <w:tcW w:w="1500" w:type="dxa"/>
            <w:vAlign w:val="bottom"/>
          </w:tcPr>
          <w:p>
            <w:pPr>
              <w:jc w:val="right"/>
              <w:ind w:right="265"/>
              <w:spacing w:after="0"/>
              <w:rPr>
                <w:sz w:val="20"/>
                <w:szCs w:val="20"/>
                <w:color w:val="auto"/>
              </w:rPr>
            </w:pPr>
            <w:r>
              <w:rPr>
                <w:rFonts w:ascii="Times New Roman" w:cs="Times New Roman" w:eastAsia="Times New Roman" w:hAnsi="Times New Roman"/>
                <w:sz w:val="16"/>
                <w:szCs w:val="16"/>
                <w:color w:val="auto"/>
              </w:rPr>
              <w:t>$1,600</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$233,780</w:t>
            </w:r>
          </w:p>
        </w:tc>
      </w:tr>
      <w:tr>
        <w:trPr>
          <w:trHeight w:val="60"/>
        </w:trPr>
        <w:tc>
          <w:tcPr>
            <w:tcW w:w="3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1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Eiry W. Roberts, M.D.</w:t>
            </w:r>
          </w:p>
        </w:tc>
        <w:tc>
          <w:tcPr>
            <w:tcW w:w="8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2021</w:t>
            </w:r>
          </w:p>
        </w:tc>
        <w:tc>
          <w:tcPr>
            <w:tcW w:w="154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rPr>
              <w:t>$17,100</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$30,149</w:t>
            </w:r>
          </w:p>
        </w:tc>
        <w:tc>
          <w:tcPr>
            <w:tcW w:w="12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shd w:val="clear" w:color="auto" w:fill="CCEEFF"/>
          </w:tcPr>
          <w:p>
            <w:pPr>
              <w:jc w:val="right"/>
              <w:ind w:right="265"/>
              <w:spacing w:after="0"/>
              <w:rPr>
                <w:sz w:val="20"/>
                <w:szCs w:val="20"/>
                <w:color w:val="auto"/>
              </w:rPr>
            </w:pPr>
            <w:r>
              <w:rPr>
                <w:rFonts w:ascii="Times New Roman" w:cs="Times New Roman" w:eastAsia="Times New Roman" w:hAnsi="Times New Roman"/>
                <w:sz w:val="16"/>
                <w:szCs w:val="16"/>
                <w:color w:val="auto"/>
              </w:rPr>
              <w:t>$1,400</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$48,649</w:t>
            </w:r>
          </w:p>
        </w:tc>
      </w:tr>
      <w:tr>
        <w:trPr>
          <w:trHeight w:val="216"/>
        </w:trPr>
        <w:tc>
          <w:tcPr>
            <w:tcW w:w="38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2022</w:t>
            </w:r>
          </w:p>
        </w:tc>
        <w:tc>
          <w:tcPr>
            <w:tcW w:w="154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rPr>
              <w:t>$18,500</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$38,086</w:t>
            </w:r>
          </w:p>
        </w:tc>
        <w:tc>
          <w:tcPr>
            <w:tcW w:w="12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shd w:val="clear" w:color="auto" w:fill="CCEEFF"/>
          </w:tcPr>
          <w:p>
            <w:pPr>
              <w:jc w:val="right"/>
              <w:ind w:right="265"/>
              <w:spacing w:after="0"/>
              <w:rPr>
                <w:sz w:val="20"/>
                <w:szCs w:val="20"/>
                <w:color w:val="auto"/>
              </w:rPr>
            </w:pPr>
            <w:r>
              <w:rPr>
                <w:rFonts w:ascii="Times New Roman" w:cs="Times New Roman" w:eastAsia="Times New Roman" w:hAnsi="Times New Roman"/>
                <w:sz w:val="16"/>
                <w:szCs w:val="16"/>
                <w:color w:val="auto"/>
              </w:rPr>
              <w:t>$1,400</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$57,986</w:t>
            </w:r>
          </w:p>
        </w:tc>
      </w:tr>
      <w:tr>
        <w:trPr>
          <w:trHeight w:val="222"/>
        </w:trPr>
        <w:tc>
          <w:tcPr>
            <w:tcW w:w="38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2023</w:t>
            </w:r>
          </w:p>
        </w:tc>
        <w:tc>
          <w:tcPr>
            <w:tcW w:w="154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rPr>
              <w:t>$19,800</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$42,452</w:t>
            </w:r>
          </w:p>
        </w:tc>
        <w:tc>
          <w:tcPr>
            <w:tcW w:w="12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shd w:val="clear" w:color="auto" w:fill="CCEEFF"/>
          </w:tcPr>
          <w:p>
            <w:pPr>
              <w:jc w:val="right"/>
              <w:ind w:right="265"/>
              <w:spacing w:after="0"/>
              <w:rPr>
                <w:sz w:val="20"/>
                <w:szCs w:val="20"/>
                <w:color w:val="auto"/>
              </w:rPr>
            </w:pPr>
            <w:r>
              <w:rPr>
                <w:rFonts w:ascii="Times New Roman" w:cs="Times New Roman" w:eastAsia="Times New Roman" w:hAnsi="Times New Roman"/>
                <w:sz w:val="16"/>
                <w:szCs w:val="16"/>
                <w:color w:val="auto"/>
              </w:rPr>
              <w:t>$1,600</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$63,852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6" w:lineRule="exact"/>
        <w:rPr>
          <w:sz w:val="20"/>
          <w:szCs w:val="20"/>
          <w:color w:val="auto"/>
        </w:rPr>
      </w:pPr>
    </w:p>
    <w:p>
      <w:pPr>
        <w:ind w:left="560" w:hanging="552"/>
        <w:spacing w:after="0"/>
        <w:tabs>
          <w:tab w:leader="none" w:pos="5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represent the costs for medical insurance for Company-wide plans, as well as disability insurance premiums and related tax gross-up amounts.</w:t>
      </w:r>
    </w:p>
    <w:p>
      <w:pPr>
        <w:spacing w:after="0" w:line="41" w:lineRule="exact"/>
        <w:rPr>
          <w:rFonts w:ascii="Times New Roman" w:cs="Times New Roman" w:eastAsia="Times New Roman" w:hAnsi="Times New Roman"/>
          <w:sz w:val="14"/>
          <w:szCs w:val="14"/>
          <w:color w:val="auto"/>
        </w:rPr>
      </w:pPr>
    </w:p>
    <w:p>
      <w:pPr>
        <w:ind w:left="580" w:right="160" w:hanging="572"/>
        <w:spacing w:after="0" w:line="234" w:lineRule="auto"/>
        <w:tabs>
          <w:tab w:leader="none" w:pos="57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Dr. Onyia, the amount in this column reflects a one-time cash inducement advance in the amount of $175,000, which was deemed earned on November 29, 2023 when Dr. Onyia completed two full years of employment with the Company. The cash inducement advance was granted as part of Dr. Onyia's new hire package when he joined the Company in November 2021.</w:t>
      </w:r>
    </w:p>
    <w:p>
      <w:pPr>
        <w:spacing w:after="0" w:line="15" w:lineRule="exact"/>
        <w:rPr>
          <w:rFonts w:ascii="Times New Roman" w:cs="Times New Roman" w:eastAsia="Times New Roman" w:hAnsi="Times New Roman"/>
          <w:sz w:val="14"/>
          <w:szCs w:val="14"/>
          <w:color w:val="auto"/>
        </w:rPr>
      </w:pPr>
    </w:p>
    <w:p>
      <w:pPr>
        <w:ind w:left="560" w:hanging="552"/>
        <w:spacing w:after="0"/>
        <w:tabs>
          <w:tab w:leader="none" w:pos="5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include expenses associated with executive physical examinations and employer contributions to health savings accounts.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 During 2023</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plan based awards granted by the Company during 2023 to the NEOs below:</w:t>
      </w:r>
    </w:p>
    <w:p>
      <w:pPr>
        <w:spacing w:after="0" w:line="200" w:lineRule="exact"/>
        <w:rPr>
          <w:sz w:val="20"/>
          <w:szCs w:val="20"/>
          <w:color w:val="auto"/>
        </w:rPr>
      </w:pPr>
    </w:p>
    <w:p>
      <w:pPr>
        <w:spacing w:after="0" w:line="272"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1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40" w:type="dxa"/>
            <w:vAlign w:val="bottom"/>
            <w:gridSpan w:val="4"/>
            <w:vMerge w:val="restart"/>
          </w:tcPr>
          <w:p>
            <w:pPr>
              <w:jc w:val="right"/>
              <w:ind w:right="291"/>
              <w:spacing w:after="0"/>
              <w:rPr>
                <w:sz w:val="20"/>
                <w:szCs w:val="20"/>
                <w:color w:val="auto"/>
              </w:rPr>
            </w:pPr>
            <w:r>
              <w:rPr>
                <w:rFonts w:ascii="Times New Roman" w:cs="Times New Roman" w:eastAsia="Times New Roman" w:hAnsi="Times New Roman"/>
                <w:sz w:val="13"/>
                <w:szCs w:val="13"/>
                <w:b w:val="1"/>
                <w:bCs w:val="1"/>
                <w:color w:val="auto"/>
              </w:rPr>
              <w:t>Estimated Future Payouts Under PRSU Awards (1)</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All Other</w:t>
            </w:r>
          </w:p>
        </w:tc>
        <w:tc>
          <w:tcPr>
            <w:tcW w:w="740" w:type="dxa"/>
            <w:vAlign w:val="bottom"/>
            <w:vMerge w:val="restart"/>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7"/>
              </w:rPr>
              <w:t>Exercise</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440" w:type="dxa"/>
            <w:vAlign w:val="bottom"/>
            <w:gridSpan w:val="4"/>
            <w:vMerge w:val="continue"/>
          </w:tcPr>
          <w:p>
            <w:pPr>
              <w:spacing w:after="0"/>
              <w:rPr>
                <w:sz w:val="10"/>
                <w:szCs w:val="10"/>
                <w:color w:val="auto"/>
              </w:rPr>
            </w:pPr>
          </w:p>
        </w:tc>
        <w:tc>
          <w:tcPr>
            <w:tcW w:w="10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2"/>
              </w:rPr>
              <w:t>Stock Awards:</w:t>
            </w:r>
          </w:p>
        </w:tc>
        <w:tc>
          <w:tcPr>
            <w:tcW w:w="11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Option Awards:</w:t>
            </w:r>
          </w:p>
        </w:tc>
        <w:tc>
          <w:tcPr>
            <w:tcW w:w="7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1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8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112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740" w:type="dxa"/>
            <w:vAlign w:val="bottom"/>
            <w:vMerge w:val="restart"/>
          </w:tcPr>
          <w:p>
            <w:pPr>
              <w:jc w:val="center"/>
              <w:ind w:right="10"/>
              <w:spacing w:after="0" w:line="122" w:lineRule="exact"/>
              <w:rPr>
                <w:sz w:val="20"/>
                <w:szCs w:val="20"/>
                <w:color w:val="auto"/>
              </w:rPr>
            </w:pPr>
            <w:r>
              <w:rPr>
                <w:rFonts w:ascii="Times New Roman" w:cs="Times New Roman" w:eastAsia="Times New Roman" w:hAnsi="Times New Roman"/>
                <w:sz w:val="13"/>
                <w:szCs w:val="13"/>
                <w:b w:val="1"/>
                <w:bCs w:val="1"/>
                <w:color w:val="auto"/>
                <w:w w:val="97"/>
              </w:rPr>
              <w:t>Price of</w:t>
            </w: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17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Grant</w:t>
            </w:r>
          </w:p>
        </w:tc>
        <w:tc>
          <w:tcPr>
            <w:tcW w:w="920" w:type="dxa"/>
            <w:vAlign w:val="bottom"/>
          </w:tcPr>
          <w:p>
            <w:pPr>
              <w:spacing w:after="0"/>
              <w:rPr>
                <w:sz w:val="11"/>
                <w:szCs w:val="11"/>
                <w:color w:val="auto"/>
              </w:rPr>
            </w:pPr>
          </w:p>
        </w:tc>
        <w:tc>
          <w:tcPr>
            <w:tcW w:w="840" w:type="dxa"/>
            <w:vAlign w:val="bottom"/>
            <w:vMerge w:val="restart"/>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780" w:type="dxa"/>
            <w:vAlign w:val="bottom"/>
            <w:vMerge w:val="restart"/>
          </w:tcPr>
          <w:p>
            <w:pPr>
              <w:jc w:val="right"/>
              <w:ind w:right="191"/>
              <w:spacing w:after="0"/>
              <w:rPr>
                <w:sz w:val="20"/>
                <w:szCs w:val="20"/>
                <w:color w:val="auto"/>
              </w:rPr>
            </w:pPr>
            <w:r>
              <w:rPr>
                <w:rFonts w:ascii="Times New Roman" w:cs="Times New Roman" w:eastAsia="Times New Roman" w:hAnsi="Times New Roman"/>
                <w:sz w:val="13"/>
                <w:szCs w:val="13"/>
                <w:b w:val="1"/>
                <w:bCs w:val="1"/>
                <w:color w:val="auto"/>
              </w:rPr>
              <w:t>Upside</w:t>
            </w:r>
          </w:p>
        </w:tc>
        <w:tc>
          <w:tcPr>
            <w:tcW w:w="900" w:type="dxa"/>
            <w:vAlign w:val="bottom"/>
            <w:vMerge w:val="restart"/>
          </w:tcPr>
          <w:p>
            <w:pPr>
              <w:jc w:val="right"/>
              <w:ind w:right="151"/>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Shares of</w:t>
            </w: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740" w:type="dxa"/>
            <w:vAlign w:val="bottom"/>
          </w:tcPr>
          <w:p>
            <w:pPr>
              <w:jc w:val="center"/>
              <w:ind w:right="1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Grant Date</w:t>
            </w:r>
          </w:p>
        </w:tc>
        <w:tc>
          <w:tcPr>
            <w:tcW w:w="0" w:type="dxa"/>
            <w:vAlign w:val="bottom"/>
          </w:tcPr>
          <w:p>
            <w:pPr>
              <w:spacing w:after="0"/>
              <w:rPr>
                <w:sz w:val="1"/>
                <w:szCs w:val="1"/>
                <w:color w:val="auto"/>
              </w:rPr>
            </w:pPr>
          </w:p>
        </w:tc>
      </w:tr>
      <w:tr>
        <w:trPr>
          <w:trHeight w:val="121"/>
        </w:trPr>
        <w:tc>
          <w:tcPr>
            <w:tcW w:w="1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Stock or Units</w:t>
            </w:r>
          </w:p>
        </w:tc>
        <w:tc>
          <w:tcPr>
            <w:tcW w:w="11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740" w:type="dxa"/>
            <w:vAlign w:val="bottom"/>
          </w:tcPr>
          <w:p>
            <w:pPr>
              <w:jc w:val="center"/>
              <w:ind w:right="10"/>
              <w:spacing w:after="0" w:line="122"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8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83"/>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w w:val="99"/>
              </w:rPr>
              <w:t>Approval Date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9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3"/>
                <w:szCs w:val="13"/>
                <w:b w:val="1"/>
                <w:bCs w:val="1"/>
                <w:color w:val="auto"/>
              </w:rPr>
              <w:t>Minimum(#)</w:t>
            </w:r>
          </w:p>
        </w:tc>
        <w:tc>
          <w:tcPr>
            <w:tcW w:w="8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Options (#)(2)</w:t>
            </w:r>
          </w:p>
        </w:tc>
        <w:tc>
          <w:tcPr>
            <w:tcW w:w="7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4"/>
              </w:rPr>
              <w:t>($/Sh)(2)</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Value (3)</w:t>
            </w:r>
          </w:p>
        </w:tc>
        <w:tc>
          <w:tcPr>
            <w:tcW w:w="0" w:type="dxa"/>
            <w:vAlign w:val="bottom"/>
          </w:tcPr>
          <w:p>
            <w:pPr>
              <w:spacing w:after="0"/>
              <w:rPr>
                <w:sz w:val="1"/>
                <w:szCs w:val="1"/>
                <w:color w:val="auto"/>
              </w:rPr>
            </w:pPr>
          </w:p>
        </w:tc>
      </w:tr>
      <w:tr>
        <w:trPr>
          <w:trHeight w:val="188"/>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Kevin C. Gorman, Ph.D.</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2/1/2023</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2/13/2023</w:t>
            </w:r>
          </w:p>
        </w:tc>
        <w:tc>
          <w:tcPr>
            <w:tcW w:w="9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21,506</w:t>
            </w:r>
          </w:p>
        </w:tc>
        <w:tc>
          <w:tcPr>
            <w:tcW w:w="1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$2,226,301</w:t>
            </w:r>
          </w:p>
        </w:tc>
        <w:tc>
          <w:tcPr>
            <w:tcW w:w="0" w:type="dxa"/>
            <w:vAlign w:val="bottom"/>
          </w:tcPr>
          <w:p>
            <w:pPr>
              <w:spacing w:after="0"/>
              <w:rPr>
                <w:sz w:val="1"/>
                <w:szCs w:val="1"/>
                <w:color w:val="auto"/>
              </w:rPr>
            </w:pPr>
          </w:p>
        </w:tc>
      </w:tr>
      <w:tr>
        <w:trPr>
          <w:trHeight w:val="193"/>
        </w:trPr>
        <w:tc>
          <w:tcPr>
            <w:tcW w:w="170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5/19/2023</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5/19/2023 (1)</w:t>
            </w:r>
          </w:p>
        </w:tc>
        <w:tc>
          <w:tcPr>
            <w:tcW w:w="9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28,038</w:t>
            </w:r>
          </w:p>
        </w:tc>
        <w:tc>
          <w:tcPr>
            <w:tcW w:w="8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50,979</w:t>
            </w:r>
          </w:p>
        </w:tc>
        <w:tc>
          <w:tcPr>
            <w:tcW w:w="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76,468</w:t>
            </w: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101,957</w:t>
            </w:r>
          </w:p>
        </w:tc>
        <w:tc>
          <w:tcPr>
            <w:tcW w:w="10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$4,795,085</w:t>
            </w:r>
          </w:p>
        </w:tc>
        <w:tc>
          <w:tcPr>
            <w:tcW w:w="0" w:type="dxa"/>
            <w:vAlign w:val="bottom"/>
          </w:tcPr>
          <w:p>
            <w:pPr>
              <w:spacing w:after="0"/>
              <w:rPr>
                <w:sz w:val="1"/>
                <w:szCs w:val="1"/>
                <w:color w:val="auto"/>
              </w:rPr>
            </w:pPr>
          </w:p>
        </w:tc>
      </w:tr>
      <w:tr>
        <w:trPr>
          <w:trHeight w:val="206"/>
        </w:trPr>
        <w:tc>
          <w:tcPr>
            <w:tcW w:w="17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2/1/2023</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2/13/2023</w:t>
            </w:r>
          </w:p>
        </w:tc>
        <w:tc>
          <w:tcPr>
            <w:tcW w:w="9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133,656</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$103.52</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$6,678,790</w:t>
            </w:r>
          </w:p>
        </w:tc>
        <w:tc>
          <w:tcPr>
            <w:tcW w:w="0" w:type="dxa"/>
            <w:vAlign w:val="bottom"/>
          </w:tcPr>
          <w:p>
            <w:pPr>
              <w:spacing w:after="0"/>
              <w:rPr>
                <w:sz w:val="1"/>
                <w:szCs w:val="1"/>
                <w:color w:val="auto"/>
              </w:rPr>
            </w:pPr>
          </w:p>
        </w:tc>
      </w:tr>
      <w:tr>
        <w:trPr>
          <w:trHeight w:val="188"/>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Matthew C. Abernethy</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2/1/2023</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2/13/2023</w:t>
            </w: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10,264</w:t>
            </w:r>
          </w:p>
        </w:tc>
        <w:tc>
          <w:tcPr>
            <w:tcW w:w="112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$1,062,529</w:t>
            </w:r>
          </w:p>
        </w:tc>
        <w:tc>
          <w:tcPr>
            <w:tcW w:w="0" w:type="dxa"/>
            <w:vAlign w:val="bottom"/>
          </w:tcPr>
          <w:p>
            <w:pPr>
              <w:spacing w:after="0"/>
              <w:rPr>
                <w:sz w:val="1"/>
                <w:szCs w:val="1"/>
                <w:color w:val="auto"/>
              </w:rPr>
            </w:pPr>
          </w:p>
        </w:tc>
      </w:tr>
      <w:tr>
        <w:trPr>
          <w:trHeight w:val="193"/>
        </w:trPr>
        <w:tc>
          <w:tcPr>
            <w:tcW w:w="17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5/19/2023</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5/19/2023 (1)</w:t>
            </w: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4,385</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7,974</w:t>
            </w: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11,960</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15,947</w:t>
            </w: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$750,034</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2/1/2023</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2/13/2023</w:t>
            </w: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63,789</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$103.52</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$3,187,536</w:t>
            </w: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Kyle W. Gano, Ph.D.</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2/1/2023</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2/13/2023</w:t>
            </w:r>
          </w:p>
        </w:tc>
        <w:tc>
          <w:tcPr>
            <w:tcW w:w="9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10,264</w:t>
            </w:r>
          </w:p>
        </w:tc>
        <w:tc>
          <w:tcPr>
            <w:tcW w:w="1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$1,062,529</w:t>
            </w:r>
          </w:p>
        </w:tc>
        <w:tc>
          <w:tcPr>
            <w:tcW w:w="0" w:type="dxa"/>
            <w:vAlign w:val="bottom"/>
          </w:tcPr>
          <w:p>
            <w:pPr>
              <w:spacing w:after="0"/>
              <w:rPr>
                <w:sz w:val="1"/>
                <w:szCs w:val="1"/>
                <w:color w:val="auto"/>
              </w:rPr>
            </w:pPr>
          </w:p>
        </w:tc>
      </w:tr>
      <w:tr>
        <w:trPr>
          <w:trHeight w:val="193"/>
        </w:trPr>
        <w:tc>
          <w:tcPr>
            <w:tcW w:w="170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5/19/2023</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5/19/2023 (1)</w:t>
            </w:r>
          </w:p>
        </w:tc>
        <w:tc>
          <w:tcPr>
            <w:tcW w:w="9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4,385</w:t>
            </w:r>
          </w:p>
        </w:tc>
        <w:tc>
          <w:tcPr>
            <w:tcW w:w="8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7,974</w:t>
            </w:r>
          </w:p>
        </w:tc>
        <w:tc>
          <w:tcPr>
            <w:tcW w:w="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11,960</w:t>
            </w: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15,947</w:t>
            </w:r>
          </w:p>
        </w:tc>
        <w:tc>
          <w:tcPr>
            <w:tcW w:w="10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$750,034</w:t>
            </w:r>
          </w:p>
        </w:tc>
        <w:tc>
          <w:tcPr>
            <w:tcW w:w="0" w:type="dxa"/>
            <w:vAlign w:val="bottom"/>
          </w:tcPr>
          <w:p>
            <w:pPr>
              <w:spacing w:after="0"/>
              <w:rPr>
                <w:sz w:val="1"/>
                <w:szCs w:val="1"/>
                <w:color w:val="auto"/>
              </w:rPr>
            </w:pPr>
          </w:p>
        </w:tc>
      </w:tr>
      <w:tr>
        <w:trPr>
          <w:trHeight w:val="206"/>
        </w:trPr>
        <w:tc>
          <w:tcPr>
            <w:tcW w:w="17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2/1/2023</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2/13/2023</w:t>
            </w:r>
          </w:p>
        </w:tc>
        <w:tc>
          <w:tcPr>
            <w:tcW w:w="9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63,789</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$103.52</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$3,187,536</w:t>
            </w:r>
          </w:p>
        </w:tc>
        <w:tc>
          <w:tcPr>
            <w:tcW w:w="0" w:type="dxa"/>
            <w:vAlign w:val="bottom"/>
          </w:tcPr>
          <w:p>
            <w:pPr>
              <w:spacing w:after="0"/>
              <w:rPr>
                <w:sz w:val="1"/>
                <w:szCs w:val="1"/>
                <w:color w:val="auto"/>
              </w:rPr>
            </w:pPr>
          </w:p>
        </w:tc>
      </w:tr>
      <w:tr>
        <w:trPr>
          <w:trHeight w:val="188"/>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Jude Onyia, Ph.D.</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2/1/2023</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2/13/2023</w:t>
            </w: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10,868</w:t>
            </w:r>
          </w:p>
        </w:tc>
        <w:tc>
          <w:tcPr>
            <w:tcW w:w="112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$1,125,055</w:t>
            </w:r>
          </w:p>
        </w:tc>
        <w:tc>
          <w:tcPr>
            <w:tcW w:w="0" w:type="dxa"/>
            <w:vAlign w:val="bottom"/>
          </w:tcPr>
          <w:p>
            <w:pPr>
              <w:spacing w:after="0"/>
              <w:rPr>
                <w:sz w:val="1"/>
                <w:szCs w:val="1"/>
                <w:color w:val="auto"/>
              </w:rPr>
            </w:pPr>
          </w:p>
        </w:tc>
      </w:tr>
      <w:tr>
        <w:trPr>
          <w:trHeight w:val="193"/>
        </w:trPr>
        <w:tc>
          <w:tcPr>
            <w:tcW w:w="17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5/19/2023</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5/19/2023 (1)</w:t>
            </w: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8,771</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15,948</w:t>
            </w: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23,920</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31,894</w:t>
            </w: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$1,500,069</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2/1/2023</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2/13/2023</w:t>
            </w: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67,541</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$103.52</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$3,375,024</w:t>
            </w: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Eiry W. Roberts, M.D.</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2/1/2023</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2/13/2023</w:t>
            </w:r>
          </w:p>
        </w:tc>
        <w:tc>
          <w:tcPr>
            <w:tcW w:w="9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8,453</w:t>
            </w:r>
          </w:p>
        </w:tc>
        <w:tc>
          <w:tcPr>
            <w:tcW w:w="1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$875,055</w:t>
            </w:r>
          </w:p>
        </w:tc>
        <w:tc>
          <w:tcPr>
            <w:tcW w:w="0" w:type="dxa"/>
            <w:vAlign w:val="bottom"/>
          </w:tcPr>
          <w:p>
            <w:pPr>
              <w:spacing w:after="0"/>
              <w:rPr>
                <w:sz w:val="1"/>
                <w:szCs w:val="1"/>
                <w:color w:val="auto"/>
              </w:rPr>
            </w:pPr>
          </w:p>
        </w:tc>
      </w:tr>
      <w:tr>
        <w:trPr>
          <w:trHeight w:val="193"/>
        </w:trPr>
        <w:tc>
          <w:tcPr>
            <w:tcW w:w="170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5/19/2023</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5/19/2023 (1)</w:t>
            </w:r>
          </w:p>
        </w:tc>
        <w:tc>
          <w:tcPr>
            <w:tcW w:w="9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7,309</w:t>
            </w:r>
          </w:p>
        </w:tc>
        <w:tc>
          <w:tcPr>
            <w:tcW w:w="8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13,290</w:t>
            </w:r>
          </w:p>
        </w:tc>
        <w:tc>
          <w:tcPr>
            <w:tcW w:w="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19,934</w:t>
            </w: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26,579</w:t>
            </w:r>
          </w:p>
        </w:tc>
        <w:tc>
          <w:tcPr>
            <w:tcW w:w="10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$1,250,057</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2/1/2023</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2/13/2023</w:t>
            </w:r>
          </w:p>
        </w:tc>
        <w:tc>
          <w:tcPr>
            <w:tcW w:w="9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52,532</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$103.52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$2,625,024</w:t>
            </w:r>
          </w:p>
        </w:tc>
        <w:tc>
          <w:tcPr>
            <w:tcW w:w="0" w:type="dxa"/>
            <w:vAlign w:val="bottom"/>
          </w:tcPr>
          <w:p>
            <w:pPr>
              <w:spacing w:after="0"/>
              <w:rPr>
                <w:sz w:val="1"/>
                <w:szCs w:val="1"/>
                <w:color w:val="auto"/>
              </w:rPr>
            </w:pPr>
          </w:p>
        </w:tc>
      </w:tr>
      <w:tr>
        <w:trPr>
          <w:trHeight w:val="24"/>
        </w:trPr>
        <w:tc>
          <w:tcPr>
            <w:tcW w:w="17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6" w:lineRule="exact"/>
        <w:rPr>
          <w:sz w:val="20"/>
          <w:szCs w:val="20"/>
          <w:color w:val="auto"/>
        </w:rPr>
      </w:pPr>
    </w:p>
    <w:p>
      <w:pPr>
        <w:ind w:left="580" w:hanging="572"/>
        <w:spacing w:after="0" w:line="229" w:lineRule="auto"/>
        <w:tabs>
          <w:tab w:leader="none" w:pos="57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number of shares that may be earned under the PRSUs granted to NEOs in 2023 under the Company’s Amended 2020 Plan. The PRSUs will vest on the date, or dates, that the Committee determines achievement of two underlying performance metrics, each of which must occur before December 31, 2025. Such metrics relate to the advancement of certain regulatory milestones and clinical programs which we believe will drive stockholder value within the 36-month performance period commencing on January 1, 2023 and ending on December 31, 2025. The actual number of units subject to the PRSUs will be determined based on the level of achievement of such metrics, with minimum, target, upside and maximum levels specified.</w:t>
      </w:r>
    </w:p>
    <w:p>
      <w:pPr>
        <w:sectPr>
          <w:pgSz w:w="11900" w:h="16838" w:orient="portrait"/>
          <w:cols w:equalWidth="0" w:num="1">
            <w:col w:w="11180"/>
          </w:cols>
          <w:pgMar w:left="320" w:top="112"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80" w:right="180" w:hanging="572"/>
        <w:spacing w:after="0" w:line="261" w:lineRule="auto"/>
        <w:tabs>
          <w:tab w:leader="none" w:pos="57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 awards granted have an exercise price equal to the closing market price of the Company’s common stock on the date of grant. All option awards are time-based awards, which vest monthly, on a pro-rata basis, over four years and have an option term of ten years. RSUs vest annually, on a pro-rata basis, over a four-year period.</w:t>
      </w:r>
    </w:p>
    <w:p>
      <w:pPr>
        <w:ind w:left="580" w:right="380" w:hanging="572"/>
        <w:spacing w:after="0" w:line="241" w:lineRule="auto"/>
        <w:tabs>
          <w:tab w:leader="none" w:pos="57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grant date per share Black-Scholes value of $49.97 for option awards and the grant date per share value of $103.52 for RSUs, each granted on February 13, 2023, and $94.06 for PRSUs which were granted on May 19, 2023, all of which were calculated in accordance with ASC 718.</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Named Executive Officers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Kevin C. Gorman, Ph.D. </w:t>
      </w:r>
      <w:r>
        <w:rPr>
          <w:rFonts w:ascii="Times New Roman" w:cs="Times New Roman" w:eastAsia="Times New Roman" w:hAnsi="Times New Roman"/>
          <w:sz w:val="18"/>
          <w:szCs w:val="18"/>
          <w:color w:val="auto"/>
        </w:rPr>
        <w:t>has an employment contract that provides that: (i) Dr. Gorman will serve as the Company’s Executive Vice President and</w:t>
      </w:r>
    </w:p>
    <w:p>
      <w:pPr>
        <w:spacing w:after="0" w:line="6" w:lineRule="exact"/>
        <w:rPr>
          <w:sz w:val="20"/>
          <w:szCs w:val="20"/>
          <w:color w:val="auto"/>
        </w:rPr>
      </w:pPr>
    </w:p>
    <w:p>
      <w:pPr>
        <w:ind w:right="340"/>
        <w:spacing w:after="0" w:line="203" w:lineRule="auto"/>
        <w:rPr>
          <w:sz w:val="20"/>
          <w:szCs w:val="20"/>
          <w:color w:val="auto"/>
        </w:rPr>
      </w:pPr>
      <w:r>
        <w:rPr>
          <w:rFonts w:ascii="Times New Roman" w:cs="Times New Roman" w:eastAsia="Times New Roman" w:hAnsi="Times New Roman"/>
          <w:sz w:val="18"/>
          <w:szCs w:val="18"/>
          <w:color w:val="auto"/>
        </w:rPr>
        <w:t>Chief Operating Officer commencing on August 1, 2007 at an initial annual salary of $400,000, subject to annual adjustment by the Board of Directors (subsequent to entering into the employment contract, Dr. Gorman became Chief Executive Officer and his annual base salary for 2023 is $946,000);</w:t>
      </w:r>
    </w:p>
    <w:p>
      <w:pPr>
        <w:ind w:left="280" w:hanging="272"/>
        <w:spacing w:after="0" w:line="220" w:lineRule="auto"/>
        <w:tabs>
          <w:tab w:leader="none" w:pos="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terminates upon death, disability, termination by the Company with or without cause, constructive termination or voluntary resignation;</w:t>
      </w:r>
    </w:p>
    <w:p>
      <w:pPr>
        <w:ind w:right="260" w:firstLine="8"/>
        <w:spacing w:after="0" w:line="218" w:lineRule="auto"/>
        <w:tabs>
          <w:tab w:leader="none" w:pos="3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Gorman is eligible for a discretionary annual bonus as determined by the Board of Directors, based upon achieving certain performance criteria; and (iv) each year starting in 2007 and continuing for the term of the agreement, Dr. Gorman will be eligible to receive equity awards with the number of shares, vesting terms, and exercise price as shall be determined by the Board of Directors.</w:t>
      </w:r>
    </w:p>
    <w:p>
      <w:pPr>
        <w:spacing w:after="0" w:line="1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Matthew C. Abernethy </w:t>
      </w:r>
      <w:r>
        <w:rPr>
          <w:rFonts w:ascii="Times New Roman" w:cs="Times New Roman" w:eastAsia="Times New Roman" w:hAnsi="Times New Roman"/>
          <w:sz w:val="18"/>
          <w:szCs w:val="18"/>
          <w:color w:val="auto"/>
        </w:rPr>
        <w:t>has an employment contract that provides that: (i) Mr. Abernethy will be entitled to receive an initial base salary of</w:t>
      </w:r>
    </w:p>
    <w:p>
      <w:pPr>
        <w:spacing w:after="0" w:line="6" w:lineRule="exact"/>
        <w:rPr>
          <w:sz w:val="20"/>
          <w:szCs w:val="20"/>
          <w:color w:val="auto"/>
        </w:rPr>
      </w:pPr>
    </w:p>
    <w:p>
      <w:pPr>
        <w:ind w:right="320"/>
        <w:spacing w:after="0" w:line="203" w:lineRule="auto"/>
        <w:rPr>
          <w:sz w:val="20"/>
          <w:szCs w:val="20"/>
          <w:color w:val="auto"/>
        </w:rPr>
      </w:pPr>
      <w:r>
        <w:rPr>
          <w:rFonts w:ascii="Times New Roman" w:cs="Times New Roman" w:eastAsia="Times New Roman" w:hAnsi="Times New Roman"/>
          <w:sz w:val="18"/>
          <w:szCs w:val="18"/>
          <w:color w:val="auto"/>
        </w:rPr>
        <w:t>$420,000 per year, which was his base salary for 2018, subject to future adjustments (Mr. Abernethy’s annual base salary for 2023 is $646,061); (ii) the agreement terminates upon death, disability, termination by the Company with or without cause, constructive termination or voluntary resignation;</w:t>
      </w:r>
    </w:p>
    <w:p>
      <w:pPr>
        <w:ind w:left="320" w:hanging="312"/>
        <w:spacing w:after="0" w:line="220" w:lineRule="auto"/>
        <w:tabs>
          <w:tab w:leader="none" w:pos="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Abernethy is eligible for a discretionary annual bonus as determined by the Board of Directors, based upon achieving certain performance criteria;</w:t>
      </w:r>
    </w:p>
    <w:p>
      <w:pPr>
        <w:ind w:right="140" w:firstLine="8"/>
        <w:spacing w:after="0" w:line="203" w:lineRule="auto"/>
        <w:tabs>
          <w:tab w:leader="none" w:pos="30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Abernethy is eligible to receive equity awards with the number of shares, vesting terms, and exercise price as shall be determined by the Board of Directors; (v) Mr. Abernethy shall receive a one-time cash inducement advance in the amount of $180,000, which was deemed earned in 2020 as</w:t>
      </w:r>
    </w:p>
    <w:p>
      <w:pPr>
        <w:ind w:right="160"/>
        <w:spacing w:after="0" w:line="23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Abernethy completed two full years of employment with the Company; and (vi) Mr. Abernethy shall receive relocation benefits, including a one-time cash relocation advance in the amount of $140,000.</w:t>
      </w:r>
    </w:p>
    <w:p>
      <w:pPr>
        <w:spacing w:after="0" w:line="155" w:lineRule="exact"/>
        <w:rPr>
          <w:sz w:val="20"/>
          <w:szCs w:val="20"/>
          <w:color w:val="auto"/>
        </w:rPr>
      </w:pPr>
    </w:p>
    <w:p>
      <w:pPr>
        <w:ind w:firstLine="551"/>
        <w:spacing w:after="0" w:line="238" w:lineRule="auto"/>
        <w:rPr>
          <w:sz w:val="20"/>
          <w:szCs w:val="20"/>
          <w:color w:val="auto"/>
        </w:rPr>
      </w:pPr>
      <w:r>
        <w:rPr>
          <w:rFonts w:ascii="Times New Roman" w:cs="Times New Roman" w:eastAsia="Times New Roman" w:hAnsi="Times New Roman"/>
          <w:sz w:val="17"/>
          <w:szCs w:val="17"/>
          <w:b w:val="1"/>
          <w:bCs w:val="1"/>
          <w:i w:val="1"/>
          <w:iCs w:val="1"/>
          <w:color w:val="auto"/>
        </w:rPr>
        <w:t xml:space="preserve">Kyle W. Gano, Ph.D. </w:t>
      </w:r>
      <w:r>
        <w:rPr>
          <w:rFonts w:ascii="Times New Roman" w:cs="Times New Roman" w:eastAsia="Times New Roman" w:hAnsi="Times New Roman"/>
          <w:sz w:val="17"/>
          <w:szCs w:val="17"/>
          <w:color w:val="auto"/>
        </w:rPr>
        <w:t>has an employment contract that provides that: (i) Dr. Gano will serve as the Company’s Chief Business Development Officer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commencing on November 12, 2014 at an initial annual salary of $310,000, subject to annual adjustment by the Board of Directors (Dr. Gano’s annual base</w:t>
      </w:r>
    </w:p>
    <w:p>
      <w:pPr>
        <w:spacing w:after="0" w:line="1" w:lineRule="exact"/>
        <w:rPr>
          <w:sz w:val="20"/>
          <w:szCs w:val="20"/>
          <w:color w:val="auto"/>
        </w:rPr>
      </w:pPr>
    </w:p>
    <w:p>
      <w:pPr>
        <w:ind w:right="480"/>
        <w:spacing w:after="0" w:line="220" w:lineRule="auto"/>
        <w:rPr>
          <w:sz w:val="20"/>
          <w:szCs w:val="20"/>
          <w:color w:val="auto"/>
        </w:rPr>
      </w:pPr>
      <w:r>
        <w:rPr>
          <w:rFonts w:ascii="Times New Roman" w:cs="Times New Roman" w:eastAsia="Times New Roman" w:hAnsi="Times New Roman"/>
          <w:sz w:val="17"/>
          <w:szCs w:val="17"/>
          <w:color w:val="auto"/>
        </w:rPr>
        <w:t>salary for 2023 is $602,912); (ii) the agreement terminates upon death, disability, termination by the Company with or without cause, constructive termination or voluntary resignation; (iii) Dr. Gano is eligible for a discretionary annual bonus as determined by the Board of Directors, based upon achieving certain performance criteria; and (iv) Dr. Gano is eligible to receive stock option awards with the equity awards with the number of shares,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vesting terms, and exercise price as shall be determined by the Board of Directors.</w:t>
      </w:r>
    </w:p>
    <w:p>
      <w:pPr>
        <w:spacing w:after="0" w:line="161" w:lineRule="exact"/>
        <w:rPr>
          <w:sz w:val="20"/>
          <w:szCs w:val="20"/>
          <w:color w:val="auto"/>
        </w:rPr>
      </w:pPr>
    </w:p>
    <w:p>
      <w:pPr>
        <w:ind w:right="120" w:firstLine="551"/>
        <w:spacing w:after="0" w:line="238" w:lineRule="auto"/>
        <w:rPr>
          <w:sz w:val="20"/>
          <w:szCs w:val="20"/>
          <w:color w:val="auto"/>
        </w:rPr>
      </w:pPr>
      <w:r>
        <w:rPr>
          <w:rFonts w:ascii="Times New Roman" w:cs="Times New Roman" w:eastAsia="Times New Roman" w:hAnsi="Times New Roman"/>
          <w:sz w:val="17"/>
          <w:szCs w:val="17"/>
          <w:b w:val="1"/>
          <w:bCs w:val="1"/>
          <w:i w:val="1"/>
          <w:iCs w:val="1"/>
          <w:color w:val="auto"/>
        </w:rPr>
        <w:t xml:space="preserve">Jude Onyia, Ph.D. </w:t>
      </w:r>
      <w:r>
        <w:rPr>
          <w:rFonts w:ascii="Times New Roman" w:cs="Times New Roman" w:eastAsia="Times New Roman" w:hAnsi="Times New Roman"/>
          <w:sz w:val="17"/>
          <w:szCs w:val="17"/>
          <w:color w:val="auto"/>
        </w:rPr>
        <w:t>has an employment contract that provides that: (i) Dr. Onyia will serve as the Company’s Chief Scientific Officer commencing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on November 29, 2021 at an initial annual salary of $575,000, subject to annual adjustment by the Board of Directors (Dr. Onyia's annual base salary for</w:t>
      </w:r>
    </w:p>
    <w:p>
      <w:pPr>
        <w:spacing w:after="0" w:line="1" w:lineRule="exact"/>
        <w:rPr>
          <w:sz w:val="20"/>
          <w:szCs w:val="20"/>
          <w:color w:val="auto"/>
        </w:rPr>
      </w:pPr>
    </w:p>
    <w:p>
      <w:pPr>
        <w:jc w:val="both"/>
        <w:ind w:right="320"/>
        <w:spacing w:after="0" w:line="208" w:lineRule="auto"/>
        <w:rPr>
          <w:sz w:val="20"/>
          <w:szCs w:val="20"/>
          <w:color w:val="auto"/>
        </w:rPr>
      </w:pPr>
      <w:r>
        <w:rPr>
          <w:rFonts w:ascii="Times New Roman" w:cs="Times New Roman" w:eastAsia="Times New Roman" w:hAnsi="Times New Roman"/>
          <w:sz w:val="18"/>
          <w:szCs w:val="18"/>
          <w:color w:val="auto"/>
        </w:rPr>
        <w:t>2023 is $638,250); (ii) the agreement terminates upon death, disability, termination by the Company with or without cause, constructive termination or voluntary resignation; (iii) Dr. Onyia is eligible for a discretionary annual bonus as determined by the Board of Directors, based upon achieving certain performance criteria; (iv) Dr. Onyia is eligible to receive stock option awards and equity awards with the number of shares, vesting terms, and exercise</w:t>
      </w:r>
    </w:p>
    <w:p>
      <w:pPr>
        <w:spacing w:after="0" w:line="2" w:lineRule="exact"/>
        <w:rPr>
          <w:sz w:val="20"/>
          <w:szCs w:val="20"/>
          <w:color w:val="auto"/>
        </w:rPr>
      </w:pPr>
    </w:p>
    <w:p>
      <w:pPr>
        <w:ind w:right="200"/>
        <w:spacing w:after="0" w:line="218" w:lineRule="auto"/>
        <w:rPr>
          <w:sz w:val="20"/>
          <w:szCs w:val="20"/>
          <w:color w:val="auto"/>
        </w:rPr>
      </w:pPr>
      <w:r>
        <w:rPr>
          <w:rFonts w:ascii="Times New Roman" w:cs="Times New Roman" w:eastAsia="Times New Roman" w:hAnsi="Times New Roman"/>
          <w:sz w:val="18"/>
          <w:szCs w:val="18"/>
          <w:color w:val="auto"/>
        </w:rPr>
        <w:t>price as set forth in the agreement and as shall be determined by the Board of Directors; and (v) Dr. Onyia shall receive a one-time cash inducement advance in the amount of $175,000, which was deemed earned on November 29, 2023 when Dr. Onyia completed two full years of employment with the Company).</w:t>
      </w:r>
    </w:p>
    <w:p>
      <w:pPr>
        <w:spacing w:after="0" w:line="168" w:lineRule="exact"/>
        <w:rPr>
          <w:sz w:val="20"/>
          <w:szCs w:val="20"/>
          <w:color w:val="auto"/>
        </w:rPr>
      </w:pPr>
    </w:p>
    <w:p>
      <w:pPr>
        <w:ind w:right="180" w:firstLine="551"/>
        <w:spacing w:after="0" w:line="21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Eiry W. Roberts, M.D. </w:t>
      </w:r>
      <w:r>
        <w:rPr>
          <w:rFonts w:ascii="Times New Roman" w:cs="Times New Roman" w:eastAsia="Times New Roman" w:hAnsi="Times New Roman"/>
          <w:sz w:val="18"/>
          <w:szCs w:val="18"/>
          <w:color w:val="auto"/>
        </w:rPr>
        <w:t>has an employment contract that provides that: (i) Dr. Roberts will serve as the Company’s Chief Medical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commencing on January 8, 2018 at an initial annual salary of $520,000, subject to annual adjustment by the Board of Directors (Dr. Roberts’ annual base salary for 2023 is $660,348); (ii) the agreement terminates upon death, disability, termination by the Company with or without cause, constructive</w:t>
      </w:r>
    </w:p>
    <w:p>
      <w:pPr>
        <w:spacing w:after="0" w:line="3"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termination or voluntary resignation; (iii) Dr. Roberts is eligible for a discretionary annual bonus as determined by the Board of Directors, based upon achieving certain performance criteria; (iv) Dr. Roberts is eligible to receive stock option awards with the equity awards with the number of shares, vesting terms, and exercise price as shall be determined by the Board of Directors; (v) Dr. Roberts shall receive a one-time cash inducement advance in the amount</w:t>
      </w:r>
    </w:p>
    <w:p>
      <w:pPr>
        <w:spacing w:after="0" w:line="2"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8"/>
          <w:szCs w:val="18"/>
          <w:color w:val="auto"/>
        </w:rPr>
        <w:t>of $225,000, which was deemed earned in early 2021 when Dr. Roberts completed two full years of employment with the Company; and (vi) Dr. Roberts shall receive relocation benefits, including a one-time cash relocation advance in the amount of $220,000.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Outstanding Equity Awards at Fiscal Year-End. </w:t>
      </w:r>
      <w:r>
        <w:rPr>
          <w:rFonts w:ascii="Times New Roman" w:cs="Times New Roman" w:eastAsia="Times New Roman" w:hAnsi="Times New Roman"/>
          <w:sz w:val="18"/>
          <w:szCs w:val="18"/>
          <w:color w:val="auto"/>
        </w:rPr>
        <w:t>The following table sets forth the outstanding equity awards held by the NEOs as of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Table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900" w:type="dxa"/>
            <w:vAlign w:val="bottom"/>
            <w:gridSpan w:val="2"/>
          </w:tcPr>
          <w:p>
            <w:pPr>
              <w:ind w:left="540"/>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0" w:type="dxa"/>
            <w:vAlign w:val="bottom"/>
            <w:gridSpan w:val="2"/>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70" w:type="dxa"/>
            <w:vAlign w:val="bottom"/>
            <w:tcBorders>
              <w:bottom w:val="single" w:sz="8" w:color="auto"/>
            </w:tcBorders>
          </w:tcPr>
          <w:p>
            <w:pPr>
              <w:spacing w:after="0" w:line="20" w:lineRule="exact"/>
              <w:rPr>
                <w:sz w:val="1"/>
                <w:szCs w:val="1"/>
                <w:color w:val="auto"/>
              </w:rPr>
            </w:pPr>
          </w:p>
        </w:tc>
        <w:tc>
          <w:tcPr>
            <w:tcW w:w="93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1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970" w:type="dxa"/>
            <w:vAlign w:val="bottom"/>
          </w:tcPr>
          <w:p>
            <w:pPr>
              <w:spacing w:after="0"/>
              <w:rPr>
                <w:sz w:val="8"/>
                <w:szCs w:val="8"/>
                <w:color w:val="auto"/>
              </w:rPr>
            </w:pPr>
          </w:p>
        </w:tc>
        <w:tc>
          <w:tcPr>
            <w:tcW w:w="93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08"/>
        </w:trPr>
        <w:tc>
          <w:tcPr>
            <w:tcW w:w="1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970" w:type="dxa"/>
            <w:vAlign w:val="bottom"/>
          </w:tcPr>
          <w:p>
            <w:pPr>
              <w:spacing w:after="0"/>
              <w:rPr>
                <w:sz w:val="9"/>
                <w:szCs w:val="9"/>
                <w:color w:val="auto"/>
              </w:rPr>
            </w:pPr>
          </w:p>
        </w:tc>
        <w:tc>
          <w:tcPr>
            <w:tcW w:w="93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Incentive</w:t>
            </w:r>
          </w:p>
        </w:tc>
        <w:tc>
          <w:tcPr>
            <w:tcW w:w="0" w:type="dxa"/>
            <w:vAlign w:val="bottom"/>
          </w:tcPr>
          <w:p>
            <w:pPr>
              <w:spacing w:after="0"/>
              <w:rPr>
                <w:sz w:val="1"/>
                <w:szCs w:val="1"/>
                <w:color w:val="auto"/>
              </w:rPr>
            </w:pPr>
          </w:p>
        </w:tc>
      </w:tr>
      <w:tr>
        <w:trPr>
          <w:trHeight w:val="108"/>
        </w:trPr>
        <w:tc>
          <w:tcPr>
            <w:tcW w:w="1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970" w:type="dxa"/>
            <w:vAlign w:val="bottom"/>
          </w:tcPr>
          <w:p>
            <w:pPr>
              <w:spacing w:after="0"/>
              <w:rPr>
                <w:sz w:val="9"/>
                <w:szCs w:val="9"/>
                <w:color w:val="auto"/>
              </w:rPr>
            </w:pPr>
          </w:p>
        </w:tc>
        <w:tc>
          <w:tcPr>
            <w:tcW w:w="93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3"/>
              </w:rPr>
              <w:t>Plan</w:t>
            </w:r>
          </w:p>
        </w:tc>
        <w:tc>
          <w:tcPr>
            <w:tcW w:w="0" w:type="dxa"/>
            <w:vAlign w:val="bottom"/>
          </w:tcPr>
          <w:p>
            <w:pPr>
              <w:spacing w:after="0"/>
              <w:rPr>
                <w:sz w:val="1"/>
                <w:szCs w:val="1"/>
                <w:color w:val="auto"/>
              </w:rPr>
            </w:pPr>
          </w:p>
        </w:tc>
      </w:tr>
      <w:tr>
        <w:trPr>
          <w:trHeight w:val="108"/>
        </w:trPr>
        <w:tc>
          <w:tcPr>
            <w:tcW w:w="1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970" w:type="dxa"/>
            <w:vAlign w:val="bottom"/>
          </w:tcPr>
          <w:p>
            <w:pPr>
              <w:spacing w:after="0"/>
              <w:rPr>
                <w:sz w:val="9"/>
                <w:szCs w:val="9"/>
                <w:color w:val="auto"/>
              </w:rPr>
            </w:pPr>
          </w:p>
        </w:tc>
        <w:tc>
          <w:tcPr>
            <w:tcW w:w="93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0" w:type="dxa"/>
            <w:vAlign w:val="bottom"/>
          </w:tcPr>
          <w:p>
            <w:pPr>
              <w:spacing w:after="0"/>
              <w:rPr>
                <w:sz w:val="1"/>
                <w:szCs w:val="1"/>
                <w:color w:val="auto"/>
              </w:rPr>
            </w:pPr>
          </w:p>
        </w:tc>
      </w:tr>
      <w:tr>
        <w:trPr>
          <w:trHeight w:val="108"/>
        </w:trPr>
        <w:tc>
          <w:tcPr>
            <w:tcW w:w="1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970" w:type="dxa"/>
            <w:vAlign w:val="bottom"/>
          </w:tcPr>
          <w:p>
            <w:pPr>
              <w:spacing w:after="0"/>
              <w:rPr>
                <w:sz w:val="9"/>
                <w:szCs w:val="9"/>
                <w:color w:val="auto"/>
              </w:rPr>
            </w:pPr>
          </w:p>
        </w:tc>
        <w:tc>
          <w:tcPr>
            <w:tcW w:w="93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vMerge w:val="restart"/>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Number</w:t>
            </w:r>
          </w:p>
        </w:tc>
        <w:tc>
          <w:tcPr>
            <w:tcW w:w="8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8"/>
              </w:rPr>
              <w:t>Market or</w:t>
            </w:r>
          </w:p>
        </w:tc>
        <w:tc>
          <w:tcPr>
            <w:tcW w:w="0" w:type="dxa"/>
            <w:vAlign w:val="bottom"/>
          </w:tcPr>
          <w:p>
            <w:pPr>
              <w:spacing w:after="0"/>
              <w:rPr>
                <w:sz w:val="1"/>
                <w:szCs w:val="1"/>
                <w:color w:val="auto"/>
              </w:rPr>
            </w:pPr>
          </w:p>
        </w:tc>
      </w:tr>
      <w:tr>
        <w:trPr>
          <w:trHeight w:val="108"/>
        </w:trPr>
        <w:tc>
          <w:tcPr>
            <w:tcW w:w="1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970" w:type="dxa"/>
            <w:vAlign w:val="bottom"/>
          </w:tcPr>
          <w:p>
            <w:pPr>
              <w:spacing w:after="0"/>
              <w:rPr>
                <w:sz w:val="9"/>
                <w:szCs w:val="9"/>
                <w:color w:val="auto"/>
              </w:rPr>
            </w:pPr>
          </w:p>
        </w:tc>
        <w:tc>
          <w:tcPr>
            <w:tcW w:w="93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6"/>
              </w:rPr>
              <w:t>Payout</w:t>
            </w:r>
          </w:p>
        </w:tc>
        <w:tc>
          <w:tcPr>
            <w:tcW w:w="0" w:type="dxa"/>
            <w:vAlign w:val="bottom"/>
          </w:tcPr>
          <w:p>
            <w:pPr>
              <w:spacing w:after="0"/>
              <w:rPr>
                <w:sz w:val="1"/>
                <w:szCs w:val="1"/>
                <w:color w:val="auto"/>
              </w:rPr>
            </w:pPr>
          </w:p>
        </w:tc>
      </w:tr>
      <w:tr>
        <w:trPr>
          <w:trHeight w:val="108"/>
        </w:trPr>
        <w:tc>
          <w:tcPr>
            <w:tcW w:w="1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970" w:type="dxa"/>
            <w:vAlign w:val="bottom"/>
          </w:tcPr>
          <w:p>
            <w:pPr>
              <w:spacing w:after="0"/>
              <w:rPr>
                <w:sz w:val="9"/>
                <w:szCs w:val="9"/>
                <w:color w:val="auto"/>
              </w:rPr>
            </w:pPr>
          </w:p>
        </w:tc>
        <w:tc>
          <w:tcPr>
            <w:tcW w:w="93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Incentive</w:t>
            </w: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jc w:val="center"/>
              <w:ind w:right="46"/>
              <w:spacing w:after="0" w:line="108" w:lineRule="exact"/>
              <w:rPr>
                <w:sz w:val="20"/>
                <w:szCs w:val="20"/>
                <w:color w:val="auto"/>
              </w:rPr>
            </w:pPr>
            <w:r>
              <w:rPr>
                <w:rFonts w:ascii="Times New Roman" w:cs="Times New Roman" w:eastAsia="Times New Roman" w:hAnsi="Times New Roman"/>
                <w:sz w:val="11"/>
                <w:szCs w:val="11"/>
                <w:b w:val="1"/>
                <w:bCs w:val="1"/>
                <w:color w:val="auto"/>
              </w:rPr>
              <w:t>of</w:t>
            </w:r>
          </w:p>
        </w:tc>
        <w:tc>
          <w:tcPr>
            <w:tcW w:w="86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5"/>
              </w:rPr>
              <w:t>Market</w:t>
            </w: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1"/>
              </w:rPr>
              <w:t>Value of</w:t>
            </w:r>
          </w:p>
        </w:tc>
        <w:tc>
          <w:tcPr>
            <w:tcW w:w="0" w:type="dxa"/>
            <w:vAlign w:val="bottom"/>
          </w:tcPr>
          <w:p>
            <w:pPr>
              <w:spacing w:after="0"/>
              <w:rPr>
                <w:sz w:val="1"/>
                <w:szCs w:val="1"/>
                <w:color w:val="auto"/>
              </w:rPr>
            </w:pPr>
          </w:p>
        </w:tc>
      </w:tr>
      <w:tr>
        <w:trPr>
          <w:trHeight w:val="108"/>
        </w:trPr>
        <w:tc>
          <w:tcPr>
            <w:tcW w:w="1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970" w:type="dxa"/>
            <w:vAlign w:val="bottom"/>
          </w:tcPr>
          <w:p>
            <w:pPr>
              <w:spacing w:after="0"/>
              <w:rPr>
                <w:sz w:val="9"/>
                <w:szCs w:val="9"/>
                <w:color w:val="auto"/>
              </w:rPr>
            </w:pPr>
          </w:p>
        </w:tc>
        <w:tc>
          <w:tcPr>
            <w:tcW w:w="93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Plan</w:t>
            </w: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jc w:val="center"/>
              <w:ind w:right="46"/>
              <w:spacing w:after="0" w:line="108" w:lineRule="exact"/>
              <w:rPr>
                <w:sz w:val="20"/>
                <w:szCs w:val="20"/>
                <w:color w:val="auto"/>
              </w:rPr>
            </w:pPr>
            <w:r>
              <w:rPr>
                <w:rFonts w:ascii="Times New Roman" w:cs="Times New Roman" w:eastAsia="Times New Roman" w:hAnsi="Times New Roman"/>
                <w:sz w:val="11"/>
                <w:szCs w:val="11"/>
                <w:b w:val="1"/>
                <w:bCs w:val="1"/>
                <w:color w:val="auto"/>
                <w:w w:val="94"/>
              </w:rPr>
              <w:t>Shares</w:t>
            </w:r>
          </w:p>
        </w:tc>
        <w:tc>
          <w:tcPr>
            <w:tcW w:w="860" w:type="dxa"/>
            <w:vAlign w:val="bottom"/>
            <w:vMerge w:val="continue"/>
          </w:tcPr>
          <w:p>
            <w:pPr>
              <w:spacing w:after="0"/>
              <w:rPr>
                <w:sz w:val="9"/>
                <w:szCs w:val="9"/>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Equity Incentive</w:t>
            </w:r>
          </w:p>
        </w:tc>
        <w:tc>
          <w:tcPr>
            <w:tcW w:w="220" w:type="dxa"/>
            <w:vAlign w:val="bottom"/>
          </w:tcPr>
          <w:p>
            <w:pPr>
              <w:spacing w:after="0"/>
              <w:rPr>
                <w:sz w:val="9"/>
                <w:szCs w:val="9"/>
                <w:color w:val="auto"/>
              </w:rPr>
            </w:pPr>
          </w:p>
        </w:tc>
        <w:tc>
          <w:tcPr>
            <w:tcW w:w="9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4"/>
              </w:rPr>
              <w:t>Unearned</w:t>
            </w:r>
          </w:p>
        </w:tc>
        <w:tc>
          <w:tcPr>
            <w:tcW w:w="0" w:type="dxa"/>
            <w:vAlign w:val="bottom"/>
          </w:tcPr>
          <w:p>
            <w:pPr>
              <w:spacing w:after="0"/>
              <w:rPr>
                <w:sz w:val="1"/>
                <w:szCs w:val="1"/>
                <w:color w:val="auto"/>
              </w:rPr>
            </w:pPr>
          </w:p>
        </w:tc>
      </w:tr>
      <w:tr>
        <w:trPr>
          <w:trHeight w:val="108"/>
        </w:trPr>
        <w:tc>
          <w:tcPr>
            <w:tcW w:w="1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97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93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4"/>
              </w:rPr>
              <w:t>Awards:</w:t>
            </w: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jc w:val="center"/>
              <w:ind w:right="46"/>
              <w:spacing w:after="0" w:line="108" w:lineRule="exact"/>
              <w:rPr>
                <w:sz w:val="20"/>
                <w:szCs w:val="20"/>
                <w:color w:val="auto"/>
              </w:rPr>
            </w:pPr>
            <w:r>
              <w:rPr>
                <w:rFonts w:ascii="Times New Roman" w:cs="Times New Roman" w:eastAsia="Times New Roman" w:hAnsi="Times New Roman"/>
                <w:sz w:val="11"/>
                <w:szCs w:val="11"/>
                <w:b w:val="1"/>
                <w:bCs w:val="1"/>
                <w:color w:val="auto"/>
                <w:w w:val="99"/>
              </w:rPr>
              <w:t>or Units</w:t>
            </w:r>
          </w:p>
        </w:tc>
        <w:tc>
          <w:tcPr>
            <w:tcW w:w="860" w:type="dxa"/>
            <w:vAlign w:val="bottom"/>
          </w:tcPr>
          <w:p>
            <w:pPr>
              <w:jc w:val="center"/>
              <w:ind w:right="66"/>
              <w:spacing w:after="0" w:line="108" w:lineRule="exact"/>
              <w:rPr>
                <w:sz w:val="20"/>
                <w:szCs w:val="20"/>
                <w:color w:val="auto"/>
              </w:rPr>
            </w:pPr>
            <w:r>
              <w:rPr>
                <w:rFonts w:ascii="Times New Roman" w:cs="Times New Roman" w:eastAsia="Times New Roman" w:hAnsi="Times New Roman"/>
                <w:sz w:val="11"/>
                <w:szCs w:val="11"/>
                <w:b w:val="1"/>
                <w:bCs w:val="1"/>
                <w:color w:val="auto"/>
                <w:w w:val="96"/>
              </w:rPr>
              <w:t>Value of</w:t>
            </w:r>
          </w:p>
        </w:tc>
        <w:tc>
          <w:tcPr>
            <w:tcW w:w="9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2"/>
              </w:rPr>
              <w:t>Shares,</w:t>
            </w:r>
          </w:p>
        </w:tc>
        <w:tc>
          <w:tcPr>
            <w:tcW w:w="0" w:type="dxa"/>
            <w:vAlign w:val="bottom"/>
          </w:tcPr>
          <w:p>
            <w:pPr>
              <w:spacing w:after="0"/>
              <w:rPr>
                <w:sz w:val="1"/>
                <w:szCs w:val="1"/>
                <w:color w:val="auto"/>
              </w:rPr>
            </w:pPr>
          </w:p>
        </w:tc>
      </w:tr>
      <w:tr>
        <w:trPr>
          <w:trHeight w:val="108"/>
        </w:trPr>
        <w:tc>
          <w:tcPr>
            <w:tcW w:w="1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970" w:type="dxa"/>
            <w:vAlign w:val="bottom"/>
            <w:vMerge w:val="continue"/>
          </w:tcPr>
          <w:p>
            <w:pPr>
              <w:spacing w:after="0"/>
              <w:rPr>
                <w:sz w:val="9"/>
                <w:szCs w:val="9"/>
                <w:color w:val="auto"/>
              </w:rPr>
            </w:pPr>
          </w:p>
        </w:tc>
        <w:tc>
          <w:tcPr>
            <w:tcW w:w="93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jc w:val="center"/>
              <w:ind w:right="46"/>
              <w:spacing w:after="0" w:line="108" w:lineRule="exact"/>
              <w:rPr>
                <w:sz w:val="20"/>
                <w:szCs w:val="20"/>
                <w:color w:val="auto"/>
              </w:rPr>
            </w:pPr>
            <w:r>
              <w:rPr>
                <w:rFonts w:ascii="Times New Roman" w:cs="Times New Roman" w:eastAsia="Times New Roman" w:hAnsi="Times New Roman"/>
                <w:sz w:val="11"/>
                <w:szCs w:val="11"/>
                <w:b w:val="1"/>
                <w:bCs w:val="1"/>
                <w:color w:val="auto"/>
              </w:rPr>
              <w:t>of</w:t>
            </w:r>
          </w:p>
        </w:tc>
        <w:tc>
          <w:tcPr>
            <w:tcW w:w="860" w:type="dxa"/>
            <w:vAlign w:val="bottom"/>
          </w:tcPr>
          <w:p>
            <w:pPr>
              <w:jc w:val="center"/>
              <w:ind w:right="66"/>
              <w:spacing w:after="0" w:line="108" w:lineRule="exact"/>
              <w:rPr>
                <w:sz w:val="20"/>
                <w:szCs w:val="20"/>
                <w:color w:val="auto"/>
              </w:rPr>
            </w:pPr>
            <w:r>
              <w:rPr>
                <w:rFonts w:ascii="Times New Roman" w:cs="Times New Roman" w:eastAsia="Times New Roman" w:hAnsi="Times New Roman"/>
                <w:sz w:val="11"/>
                <w:szCs w:val="11"/>
                <w:b w:val="1"/>
                <w:bCs w:val="1"/>
                <w:color w:val="auto"/>
                <w:w w:val="94"/>
              </w:rPr>
              <w:t>Shares</w:t>
            </w:r>
          </w:p>
        </w:tc>
        <w:tc>
          <w:tcPr>
            <w:tcW w:w="9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Plan Awards:</w:t>
            </w:r>
          </w:p>
        </w:tc>
        <w:tc>
          <w:tcPr>
            <w:tcW w:w="220" w:type="dxa"/>
            <w:vAlign w:val="bottom"/>
          </w:tcPr>
          <w:p>
            <w:pPr>
              <w:spacing w:after="0"/>
              <w:rPr>
                <w:sz w:val="9"/>
                <w:szCs w:val="9"/>
                <w:color w:val="auto"/>
              </w:rPr>
            </w:pPr>
          </w:p>
        </w:tc>
        <w:tc>
          <w:tcPr>
            <w:tcW w:w="9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4"/>
              </w:rPr>
              <w:t>Units or</w:t>
            </w:r>
          </w:p>
        </w:tc>
        <w:tc>
          <w:tcPr>
            <w:tcW w:w="0" w:type="dxa"/>
            <w:vAlign w:val="bottom"/>
          </w:tcPr>
          <w:p>
            <w:pPr>
              <w:spacing w:after="0"/>
              <w:rPr>
                <w:sz w:val="1"/>
                <w:szCs w:val="1"/>
                <w:color w:val="auto"/>
              </w:rPr>
            </w:pPr>
          </w:p>
        </w:tc>
      </w:tr>
      <w:tr>
        <w:trPr>
          <w:trHeight w:val="108"/>
        </w:trPr>
        <w:tc>
          <w:tcPr>
            <w:tcW w:w="1600" w:type="dxa"/>
            <w:vAlign w:val="bottom"/>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Award</w:t>
            </w:r>
          </w:p>
        </w:tc>
        <w:tc>
          <w:tcPr>
            <w:tcW w:w="9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97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5"/>
              </w:rPr>
              <w:t>Securities</w:t>
            </w:r>
          </w:p>
        </w:tc>
        <w:tc>
          <w:tcPr>
            <w:tcW w:w="93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jc w:val="center"/>
              <w:ind w:right="46"/>
              <w:spacing w:after="0" w:line="108"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860" w:type="dxa"/>
            <w:vAlign w:val="bottom"/>
          </w:tcPr>
          <w:p>
            <w:pPr>
              <w:jc w:val="center"/>
              <w:ind w:right="66"/>
              <w:spacing w:after="0" w:line="108" w:lineRule="exact"/>
              <w:rPr>
                <w:sz w:val="20"/>
                <w:szCs w:val="20"/>
                <w:color w:val="auto"/>
              </w:rPr>
            </w:pPr>
            <w:r>
              <w:rPr>
                <w:rFonts w:ascii="Times New Roman" w:cs="Times New Roman" w:eastAsia="Times New Roman" w:hAnsi="Times New Roman"/>
                <w:sz w:val="11"/>
                <w:szCs w:val="11"/>
                <w:b w:val="1"/>
                <w:bCs w:val="1"/>
                <w:color w:val="auto"/>
                <w:w w:val="99"/>
              </w:rPr>
              <w:t>or Units</w:t>
            </w:r>
          </w:p>
        </w:tc>
        <w:tc>
          <w:tcPr>
            <w:tcW w:w="9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220" w:type="dxa"/>
            <w:vAlign w:val="bottom"/>
          </w:tcPr>
          <w:p>
            <w:pPr>
              <w:spacing w:after="0"/>
              <w:rPr>
                <w:sz w:val="9"/>
                <w:szCs w:val="9"/>
                <w:color w:val="auto"/>
              </w:rPr>
            </w:pPr>
          </w:p>
        </w:tc>
        <w:tc>
          <w:tcPr>
            <w:tcW w:w="9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0" w:type="dxa"/>
            <w:vAlign w:val="bottom"/>
          </w:tcPr>
          <w:p>
            <w:pPr>
              <w:spacing w:after="0"/>
              <w:rPr>
                <w:sz w:val="1"/>
                <w:szCs w:val="1"/>
                <w:color w:val="auto"/>
              </w:rPr>
            </w:pPr>
          </w:p>
        </w:tc>
      </w:tr>
      <w:tr>
        <w:trPr>
          <w:trHeight w:val="108"/>
        </w:trPr>
        <w:tc>
          <w:tcPr>
            <w:tcW w:w="16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97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93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86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1060" w:type="dxa"/>
            <w:vAlign w:val="bottom"/>
            <w:gridSpan w:val="2"/>
            <w:vMerge w:val="restart"/>
          </w:tcPr>
          <w:p>
            <w:pPr>
              <w:jc w:val="center"/>
              <w:ind w:right="186"/>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1040" w:type="dxa"/>
            <w:vAlign w:val="bottom"/>
          </w:tcPr>
          <w:p>
            <w:pPr>
              <w:jc w:val="center"/>
              <w:ind w:right="46"/>
              <w:spacing w:after="0" w:line="108" w:lineRule="exact"/>
              <w:rPr>
                <w:sz w:val="20"/>
                <w:szCs w:val="20"/>
                <w:color w:val="auto"/>
              </w:rPr>
            </w:pPr>
            <w:r>
              <w:rPr>
                <w:rFonts w:ascii="Times New Roman" w:cs="Times New Roman" w:eastAsia="Times New Roman" w:hAnsi="Times New Roman"/>
                <w:sz w:val="11"/>
                <w:szCs w:val="11"/>
                <w:b w:val="1"/>
                <w:bCs w:val="1"/>
                <w:color w:val="auto"/>
                <w:w w:val="97"/>
              </w:rPr>
              <w:t>That</w:t>
            </w:r>
          </w:p>
        </w:tc>
        <w:tc>
          <w:tcPr>
            <w:tcW w:w="860" w:type="dxa"/>
            <w:vAlign w:val="bottom"/>
          </w:tcPr>
          <w:p>
            <w:pPr>
              <w:jc w:val="center"/>
              <w:ind w:right="66"/>
              <w:spacing w:after="0" w:line="108" w:lineRule="exact"/>
              <w:rPr>
                <w:sz w:val="20"/>
                <w:szCs w:val="20"/>
                <w:color w:val="auto"/>
              </w:rPr>
            </w:pPr>
            <w:r>
              <w:rPr>
                <w:rFonts w:ascii="Times New Roman" w:cs="Times New Roman" w:eastAsia="Times New Roman" w:hAnsi="Times New Roman"/>
                <w:sz w:val="11"/>
                <w:szCs w:val="11"/>
                <w:b w:val="1"/>
                <w:bCs w:val="1"/>
                <w:color w:val="auto"/>
                <w:w w:val="99"/>
              </w:rPr>
              <w:t>of Stock</w:t>
            </w:r>
          </w:p>
        </w:tc>
        <w:tc>
          <w:tcPr>
            <w:tcW w:w="9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Unearned Shares,</w:t>
            </w:r>
          </w:p>
        </w:tc>
        <w:tc>
          <w:tcPr>
            <w:tcW w:w="220" w:type="dxa"/>
            <w:vAlign w:val="bottom"/>
          </w:tcPr>
          <w:p>
            <w:pPr>
              <w:spacing w:after="0"/>
              <w:rPr>
                <w:sz w:val="9"/>
                <w:szCs w:val="9"/>
                <w:color w:val="auto"/>
              </w:rPr>
            </w:pPr>
          </w:p>
        </w:tc>
        <w:tc>
          <w:tcPr>
            <w:tcW w:w="9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8"/>
              </w:rPr>
              <w:t>Rights</w:t>
            </w:r>
          </w:p>
        </w:tc>
        <w:tc>
          <w:tcPr>
            <w:tcW w:w="0" w:type="dxa"/>
            <w:vAlign w:val="bottom"/>
          </w:tcPr>
          <w:p>
            <w:pPr>
              <w:spacing w:after="0"/>
              <w:rPr>
                <w:sz w:val="1"/>
                <w:szCs w:val="1"/>
                <w:color w:val="auto"/>
              </w:rPr>
            </w:pPr>
          </w:p>
        </w:tc>
      </w:tr>
      <w:tr>
        <w:trPr>
          <w:trHeight w:val="108"/>
        </w:trPr>
        <w:tc>
          <w:tcPr>
            <w:tcW w:w="1600" w:type="dxa"/>
            <w:vAlign w:val="bottom"/>
          </w:tcPr>
          <w:p>
            <w:pPr>
              <w:spacing w:after="0"/>
              <w:rPr>
                <w:sz w:val="9"/>
                <w:szCs w:val="9"/>
                <w:color w:val="auto"/>
              </w:rPr>
            </w:pPr>
          </w:p>
        </w:tc>
        <w:tc>
          <w:tcPr>
            <w:tcW w:w="8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Grant and</w:t>
            </w:r>
          </w:p>
        </w:tc>
        <w:tc>
          <w:tcPr>
            <w:tcW w:w="9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Unexercised</w:t>
            </w:r>
          </w:p>
        </w:tc>
        <w:tc>
          <w:tcPr>
            <w:tcW w:w="97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Unexercised</w:t>
            </w:r>
          </w:p>
        </w:tc>
        <w:tc>
          <w:tcPr>
            <w:tcW w:w="93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Unexercised</w:t>
            </w:r>
          </w:p>
        </w:tc>
        <w:tc>
          <w:tcPr>
            <w:tcW w:w="860" w:type="dxa"/>
            <w:vAlign w:val="bottom"/>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40" w:type="dxa"/>
            <w:vAlign w:val="bottom"/>
          </w:tcPr>
          <w:p>
            <w:pPr>
              <w:jc w:val="center"/>
              <w:ind w:right="66"/>
              <w:spacing w:after="0" w:line="108" w:lineRule="exact"/>
              <w:rPr>
                <w:sz w:val="20"/>
                <w:szCs w:val="20"/>
                <w:color w:val="auto"/>
              </w:rPr>
            </w:pPr>
            <w:r>
              <w:rPr>
                <w:rFonts w:ascii="Times New Roman" w:cs="Times New Roman" w:eastAsia="Times New Roman" w:hAnsi="Times New Roman"/>
                <w:sz w:val="11"/>
                <w:szCs w:val="11"/>
                <w:b w:val="1"/>
                <w:bCs w:val="1"/>
                <w:color w:val="auto"/>
                <w:w w:val="97"/>
              </w:rPr>
              <w:t>Have</w:t>
            </w:r>
          </w:p>
        </w:tc>
        <w:tc>
          <w:tcPr>
            <w:tcW w:w="860" w:type="dxa"/>
            <w:vAlign w:val="bottom"/>
          </w:tcPr>
          <w:p>
            <w:pPr>
              <w:jc w:val="center"/>
              <w:ind w:right="66"/>
              <w:spacing w:after="0" w:line="108" w:lineRule="exact"/>
              <w:rPr>
                <w:sz w:val="20"/>
                <w:szCs w:val="20"/>
                <w:color w:val="auto"/>
              </w:rPr>
            </w:pPr>
            <w:r>
              <w:rPr>
                <w:rFonts w:ascii="Times New Roman" w:cs="Times New Roman" w:eastAsia="Times New Roman" w:hAnsi="Times New Roman"/>
                <w:sz w:val="11"/>
                <w:szCs w:val="11"/>
                <w:b w:val="1"/>
                <w:bCs w:val="1"/>
                <w:color w:val="auto"/>
                <w:w w:val="97"/>
              </w:rPr>
              <w:t>That</w:t>
            </w:r>
          </w:p>
        </w:tc>
        <w:tc>
          <w:tcPr>
            <w:tcW w:w="9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8"/>
              </w:rPr>
              <w:t>Units or Other</w:t>
            </w:r>
          </w:p>
        </w:tc>
        <w:tc>
          <w:tcPr>
            <w:tcW w:w="220" w:type="dxa"/>
            <w:vAlign w:val="bottom"/>
          </w:tcPr>
          <w:p>
            <w:pPr>
              <w:spacing w:after="0"/>
              <w:rPr>
                <w:sz w:val="9"/>
                <w:szCs w:val="9"/>
                <w:color w:val="auto"/>
              </w:rPr>
            </w:pPr>
          </w:p>
        </w:tc>
        <w:tc>
          <w:tcPr>
            <w:tcW w:w="9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That</w:t>
            </w:r>
          </w:p>
        </w:tc>
        <w:tc>
          <w:tcPr>
            <w:tcW w:w="0" w:type="dxa"/>
            <w:vAlign w:val="bottom"/>
          </w:tcPr>
          <w:p>
            <w:pPr>
              <w:spacing w:after="0"/>
              <w:rPr>
                <w:sz w:val="1"/>
                <w:szCs w:val="1"/>
                <w:color w:val="auto"/>
              </w:rPr>
            </w:pPr>
          </w:p>
        </w:tc>
      </w:tr>
      <w:tr>
        <w:trPr>
          <w:trHeight w:val="108"/>
        </w:trPr>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8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Commencement</w:t>
            </w:r>
          </w:p>
        </w:tc>
        <w:tc>
          <w:tcPr>
            <w:tcW w:w="9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8"/>
              </w:rPr>
              <w:t>Options (#)</w:t>
            </w:r>
          </w:p>
        </w:tc>
        <w:tc>
          <w:tcPr>
            <w:tcW w:w="97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8"/>
              </w:rPr>
              <w:t>Options (#)</w:t>
            </w:r>
          </w:p>
        </w:tc>
        <w:tc>
          <w:tcPr>
            <w:tcW w:w="93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8"/>
              </w:rPr>
              <w:t>Unearned</w:t>
            </w:r>
          </w:p>
        </w:tc>
        <w:tc>
          <w:tcPr>
            <w:tcW w:w="860" w:type="dxa"/>
            <w:vAlign w:val="bottom"/>
          </w:tcPr>
          <w:p>
            <w:pPr>
              <w:jc w:val="right"/>
              <w:ind w:right="166"/>
              <w:spacing w:after="0" w:line="108"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1060" w:type="dxa"/>
            <w:vAlign w:val="bottom"/>
            <w:gridSpan w:val="2"/>
          </w:tcPr>
          <w:p>
            <w:pPr>
              <w:jc w:val="center"/>
              <w:ind w:right="186"/>
              <w:spacing w:after="0" w:line="108" w:lineRule="exact"/>
              <w:rPr>
                <w:sz w:val="20"/>
                <w:szCs w:val="20"/>
                <w:color w:val="auto"/>
              </w:rPr>
            </w:pPr>
            <w:r>
              <w:rPr>
                <w:rFonts w:ascii="Times New Roman" w:cs="Times New Roman" w:eastAsia="Times New Roman" w:hAnsi="Times New Roman"/>
                <w:sz w:val="11"/>
                <w:szCs w:val="11"/>
                <w:b w:val="1"/>
                <w:bCs w:val="1"/>
                <w:color w:val="auto"/>
                <w:w w:val="98"/>
              </w:rPr>
              <w:t>Expiration</w:t>
            </w:r>
          </w:p>
        </w:tc>
        <w:tc>
          <w:tcPr>
            <w:tcW w:w="1040" w:type="dxa"/>
            <w:vAlign w:val="bottom"/>
          </w:tcPr>
          <w:p>
            <w:pPr>
              <w:jc w:val="center"/>
              <w:ind w:right="46"/>
              <w:spacing w:after="0" w:line="108" w:lineRule="exact"/>
              <w:rPr>
                <w:sz w:val="20"/>
                <w:szCs w:val="20"/>
                <w:color w:val="auto"/>
              </w:rPr>
            </w:pPr>
            <w:r>
              <w:rPr>
                <w:rFonts w:ascii="Times New Roman" w:cs="Times New Roman" w:eastAsia="Times New Roman" w:hAnsi="Times New Roman"/>
                <w:sz w:val="11"/>
                <w:szCs w:val="11"/>
                <w:b w:val="1"/>
                <w:bCs w:val="1"/>
                <w:color w:val="auto"/>
              </w:rPr>
              <w:t>Not</w:t>
            </w:r>
          </w:p>
        </w:tc>
        <w:tc>
          <w:tcPr>
            <w:tcW w:w="860" w:type="dxa"/>
            <w:vAlign w:val="bottom"/>
          </w:tcPr>
          <w:p>
            <w:pPr>
              <w:jc w:val="center"/>
              <w:ind w:right="46"/>
              <w:spacing w:after="0" w:line="108" w:lineRule="exact"/>
              <w:rPr>
                <w:sz w:val="20"/>
                <w:szCs w:val="20"/>
                <w:color w:val="auto"/>
              </w:rPr>
            </w:pPr>
            <w:r>
              <w:rPr>
                <w:rFonts w:ascii="Times New Roman" w:cs="Times New Roman" w:eastAsia="Times New Roman" w:hAnsi="Times New Roman"/>
                <w:sz w:val="11"/>
                <w:szCs w:val="11"/>
                <w:b w:val="1"/>
                <w:bCs w:val="1"/>
                <w:color w:val="auto"/>
                <w:w w:val="99"/>
              </w:rPr>
              <w:t>Have Not</w:t>
            </w:r>
          </w:p>
        </w:tc>
        <w:tc>
          <w:tcPr>
            <w:tcW w:w="9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6"/>
              </w:rPr>
              <w:t>Rights That Have</w:t>
            </w:r>
          </w:p>
        </w:tc>
        <w:tc>
          <w:tcPr>
            <w:tcW w:w="220" w:type="dxa"/>
            <w:vAlign w:val="bottom"/>
          </w:tcPr>
          <w:p>
            <w:pPr>
              <w:spacing w:after="0"/>
              <w:rPr>
                <w:sz w:val="9"/>
                <w:szCs w:val="9"/>
                <w:color w:val="auto"/>
              </w:rPr>
            </w:pPr>
          </w:p>
        </w:tc>
        <w:tc>
          <w:tcPr>
            <w:tcW w:w="9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Have Not</w:t>
            </w:r>
          </w:p>
        </w:tc>
        <w:tc>
          <w:tcPr>
            <w:tcW w:w="0" w:type="dxa"/>
            <w:vAlign w:val="bottom"/>
          </w:tcPr>
          <w:p>
            <w:pPr>
              <w:spacing w:after="0"/>
              <w:rPr>
                <w:sz w:val="1"/>
                <w:szCs w:val="1"/>
                <w:color w:val="auto"/>
              </w:rPr>
            </w:pPr>
          </w:p>
        </w:tc>
      </w:tr>
      <w:tr>
        <w:trPr>
          <w:trHeight w:val="156"/>
        </w:trPr>
        <w:tc>
          <w:tcPr>
            <w:tcW w:w="1600" w:type="dxa"/>
            <w:vAlign w:val="bottom"/>
            <w:vMerge w:val="continue"/>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of Vesting Date</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Exercisable</w:t>
            </w:r>
          </w:p>
        </w:tc>
        <w:tc>
          <w:tcPr>
            <w:tcW w:w="97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Unexercisable</w:t>
            </w:r>
          </w:p>
        </w:tc>
        <w:tc>
          <w:tcPr>
            <w:tcW w:w="93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Options (#)</w:t>
            </w:r>
          </w:p>
        </w:tc>
        <w:tc>
          <w:tcPr>
            <w:tcW w:w="86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Price ($)</w:t>
            </w:r>
          </w:p>
        </w:tc>
        <w:tc>
          <w:tcPr>
            <w:tcW w:w="1060" w:type="dxa"/>
            <w:vAlign w:val="bottom"/>
            <w:gridSpan w:val="2"/>
          </w:tcPr>
          <w:p>
            <w:pPr>
              <w:jc w:val="center"/>
              <w:ind w:right="186"/>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04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Vested (#) (3)</w:t>
            </w:r>
          </w:p>
        </w:tc>
        <w:tc>
          <w:tcPr>
            <w:tcW w:w="86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7"/>
              </w:rPr>
              <w:t>Vested ($)</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Not Vested (#)</w:t>
            </w:r>
          </w:p>
        </w:tc>
        <w:tc>
          <w:tcPr>
            <w:tcW w:w="22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Vested ($)</w:t>
            </w:r>
          </w:p>
        </w:tc>
        <w:tc>
          <w:tcPr>
            <w:tcW w:w="0" w:type="dxa"/>
            <w:vAlign w:val="bottom"/>
          </w:tcPr>
          <w:p>
            <w:pPr>
              <w:spacing w:after="0"/>
              <w:rPr>
                <w:sz w:val="1"/>
                <w:szCs w:val="1"/>
                <w:color w:val="auto"/>
              </w:rPr>
            </w:pPr>
          </w:p>
        </w:tc>
      </w:tr>
      <w:tr>
        <w:trPr>
          <w:trHeight w:val="140"/>
        </w:trPr>
        <w:tc>
          <w:tcPr>
            <w:tcW w:w="1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Kevin C. Gorman, Ph.D.</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1/16/2014</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167,858</w:t>
            </w:r>
          </w:p>
        </w:tc>
        <w:tc>
          <w:tcPr>
            <w:tcW w:w="97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30" w:type="dxa"/>
            <w:vAlign w:val="bottom"/>
            <w:tcBorders>
              <w:top w:val="single" w:sz="8" w:color="auto"/>
            </w:tcBorders>
            <w:shd w:val="clear" w:color="auto" w:fill="CCEEFF"/>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$19.59</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1/16/2024</w:t>
            </w:r>
          </w:p>
        </w:tc>
        <w:tc>
          <w:tcPr>
            <w:tcW w:w="240" w:type="dxa"/>
            <w:vAlign w:val="bottom"/>
            <w:tcBorders>
              <w:top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w:t>
            </w:r>
          </w:p>
        </w:tc>
        <w:tc>
          <w:tcPr>
            <w:tcW w:w="104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2"/>
        </w:trPr>
        <w:tc>
          <w:tcPr>
            <w:tcW w:w="1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2/3/2015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146,105</w:t>
            </w:r>
          </w:p>
        </w:tc>
        <w:tc>
          <w:tcPr>
            <w:tcW w:w="9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30" w:type="dxa"/>
            <w:vAlign w:val="bottom"/>
            <w:shd w:val="clear" w:color="auto" w:fill="CCEEFF"/>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$32.99</w:t>
            </w:r>
          </w:p>
        </w:tc>
        <w:tc>
          <w:tcPr>
            <w:tcW w:w="10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2/3/2025 (2)</w:t>
            </w:r>
          </w:p>
        </w:tc>
        <w:tc>
          <w:tcPr>
            <w:tcW w:w="10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2"/>
        </w:trPr>
        <w:tc>
          <w:tcPr>
            <w:tcW w:w="1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2/5/2016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109,100</w:t>
            </w:r>
          </w:p>
        </w:tc>
        <w:tc>
          <w:tcPr>
            <w:tcW w:w="9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30" w:type="dxa"/>
            <w:vAlign w:val="bottom"/>
            <w:shd w:val="clear" w:color="auto" w:fill="CCEEFF"/>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$35.99</w:t>
            </w:r>
          </w:p>
        </w:tc>
        <w:tc>
          <w:tcPr>
            <w:tcW w:w="10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2/5/2026 (2)</w:t>
            </w:r>
          </w:p>
        </w:tc>
        <w:tc>
          <w:tcPr>
            <w:tcW w:w="10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2"/>
        </w:trPr>
        <w:tc>
          <w:tcPr>
            <w:tcW w:w="1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2/6/2017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207,400</w:t>
            </w:r>
          </w:p>
        </w:tc>
        <w:tc>
          <w:tcPr>
            <w:tcW w:w="9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30" w:type="dxa"/>
            <w:vAlign w:val="bottom"/>
            <w:shd w:val="clear" w:color="auto" w:fill="CCEEFF"/>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$43.24</w:t>
            </w:r>
          </w:p>
        </w:tc>
        <w:tc>
          <w:tcPr>
            <w:tcW w:w="10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2/6/2027 (2)</w:t>
            </w:r>
          </w:p>
        </w:tc>
        <w:tc>
          <w:tcPr>
            <w:tcW w:w="10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2"/>
        </w:trPr>
        <w:tc>
          <w:tcPr>
            <w:tcW w:w="1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2/5/2018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104,200</w:t>
            </w:r>
          </w:p>
        </w:tc>
        <w:tc>
          <w:tcPr>
            <w:tcW w:w="9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30" w:type="dxa"/>
            <w:vAlign w:val="bottom"/>
            <w:shd w:val="clear" w:color="auto" w:fill="CCEEFF"/>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$81.49</w:t>
            </w:r>
          </w:p>
        </w:tc>
        <w:tc>
          <w:tcPr>
            <w:tcW w:w="10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2/5/2028 (2)</w:t>
            </w:r>
          </w:p>
        </w:tc>
        <w:tc>
          <w:tcPr>
            <w:tcW w:w="10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2"/>
        </w:trPr>
        <w:tc>
          <w:tcPr>
            <w:tcW w:w="1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2/7/2019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133,345</w:t>
            </w:r>
          </w:p>
        </w:tc>
        <w:tc>
          <w:tcPr>
            <w:tcW w:w="9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30" w:type="dxa"/>
            <w:vAlign w:val="bottom"/>
            <w:shd w:val="clear" w:color="auto" w:fill="CCEEFF"/>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$81.05</w:t>
            </w:r>
          </w:p>
        </w:tc>
        <w:tc>
          <w:tcPr>
            <w:tcW w:w="10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2/7/2029 (2)</w:t>
            </w:r>
          </w:p>
        </w:tc>
        <w:tc>
          <w:tcPr>
            <w:tcW w:w="10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2"/>
        </w:trPr>
        <w:tc>
          <w:tcPr>
            <w:tcW w:w="1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2/6/2020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139,627</w:t>
            </w:r>
          </w:p>
        </w:tc>
        <w:tc>
          <w:tcPr>
            <w:tcW w:w="9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6,071</w:t>
            </w:r>
          </w:p>
        </w:tc>
        <w:tc>
          <w:tcPr>
            <w:tcW w:w="930" w:type="dxa"/>
            <w:vAlign w:val="bottom"/>
            <w:shd w:val="clear" w:color="auto" w:fill="CCEEFF"/>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$102.90</w:t>
            </w:r>
          </w:p>
        </w:tc>
        <w:tc>
          <w:tcPr>
            <w:tcW w:w="10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2/6/2030 (2)</w:t>
            </w:r>
          </w:p>
        </w:tc>
        <w:tc>
          <w:tcPr>
            <w:tcW w:w="10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5,771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$760,387</w:t>
            </w: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2"/>
        </w:trPr>
        <w:tc>
          <w:tcPr>
            <w:tcW w:w="1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2/8/2021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80,653</w:t>
            </w:r>
          </w:p>
        </w:tc>
        <w:tc>
          <w:tcPr>
            <w:tcW w:w="9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33,210</w:t>
            </w:r>
          </w:p>
        </w:tc>
        <w:tc>
          <w:tcPr>
            <w:tcW w:w="930" w:type="dxa"/>
            <w:vAlign w:val="bottom"/>
            <w:shd w:val="clear" w:color="auto" w:fill="CCEEFF"/>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$117.63</w:t>
            </w:r>
          </w:p>
        </w:tc>
        <w:tc>
          <w:tcPr>
            <w:tcW w:w="10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2/8/2031 (2)</w:t>
            </w:r>
          </w:p>
        </w:tc>
        <w:tc>
          <w:tcPr>
            <w:tcW w:w="10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8,635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$1,137,748</w:t>
            </w: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2"/>
        </w:trPr>
        <w:tc>
          <w:tcPr>
            <w:tcW w:w="1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1/31/2022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67,107</w:t>
            </w:r>
          </w:p>
        </w:tc>
        <w:tc>
          <w:tcPr>
            <w:tcW w:w="9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72,942</w:t>
            </w:r>
          </w:p>
        </w:tc>
        <w:tc>
          <w:tcPr>
            <w:tcW w:w="930" w:type="dxa"/>
            <w:vAlign w:val="bottom"/>
            <w:shd w:val="clear" w:color="auto" w:fill="CCEEFF"/>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$79.02</w:t>
            </w:r>
          </w:p>
        </w:tc>
        <w:tc>
          <w:tcPr>
            <w:tcW w:w="10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1/31/2032 (2)</w:t>
            </w:r>
          </w:p>
        </w:tc>
        <w:tc>
          <w:tcPr>
            <w:tcW w:w="10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15,424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$2,032,266</w:t>
            </w: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26,576</w:t>
            </w:r>
          </w:p>
        </w:tc>
        <w:tc>
          <w:tcPr>
            <w:tcW w:w="2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93"/>
              </w:rPr>
              <w:t>(4)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$3,501,654</w:t>
            </w:r>
          </w:p>
        </w:tc>
        <w:tc>
          <w:tcPr>
            <w:tcW w:w="0" w:type="dxa"/>
            <w:vAlign w:val="bottom"/>
          </w:tcPr>
          <w:p>
            <w:pPr>
              <w:spacing w:after="0"/>
              <w:rPr>
                <w:sz w:val="1"/>
                <w:szCs w:val="1"/>
                <w:color w:val="auto"/>
              </w:rPr>
            </w:pPr>
          </w:p>
        </w:tc>
      </w:tr>
      <w:tr>
        <w:trPr>
          <w:trHeight w:val="162"/>
        </w:trPr>
        <w:tc>
          <w:tcPr>
            <w:tcW w:w="1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2/13/2023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27,845</w:t>
            </w:r>
          </w:p>
        </w:tc>
        <w:tc>
          <w:tcPr>
            <w:tcW w:w="9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105,811</w:t>
            </w:r>
          </w:p>
        </w:tc>
        <w:tc>
          <w:tcPr>
            <w:tcW w:w="930" w:type="dxa"/>
            <w:vAlign w:val="bottom"/>
            <w:shd w:val="clear" w:color="auto" w:fill="CCEEFF"/>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$103.52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2/13/2033</w:t>
            </w:r>
          </w:p>
        </w:tc>
        <w:tc>
          <w:tcPr>
            <w:tcW w:w="2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w:t>
            </w:r>
          </w:p>
        </w:tc>
        <w:tc>
          <w:tcPr>
            <w:tcW w:w="10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21,506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$2,833,631</w:t>
            </w: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64"/>
        </w:trPr>
        <w:tc>
          <w:tcPr>
            <w:tcW w:w="16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5/19/2023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7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30" w:type="dxa"/>
            <w:vAlign w:val="bottom"/>
            <w:tcBorders>
              <w:bottom w:val="single" w:sz="8" w:color="CCEEFF"/>
            </w:tcBorders>
            <w:shd w:val="clear" w:color="auto" w:fill="CCEEFF"/>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50,979</w:t>
            </w:r>
          </w:p>
        </w:tc>
        <w:tc>
          <w:tcPr>
            <w:tcW w:w="2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93"/>
              </w:rPr>
              <w:t>(5)</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$6,716,993</w:t>
            </w:r>
          </w:p>
        </w:tc>
        <w:tc>
          <w:tcPr>
            <w:tcW w:w="0" w:type="dxa"/>
            <w:vAlign w:val="bottom"/>
          </w:tcPr>
          <w:p>
            <w:pPr>
              <w:spacing w:after="0"/>
              <w:rPr>
                <w:sz w:val="1"/>
                <w:szCs w:val="1"/>
                <w:color w:val="auto"/>
              </w:rPr>
            </w:pPr>
          </w:p>
        </w:tc>
      </w:tr>
      <w:tr>
        <w:trPr>
          <w:trHeight w:val="140"/>
        </w:trPr>
        <w:tc>
          <w:tcPr>
            <w:tcW w:w="1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Matthew C. Abernethy</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12/1/2017</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45,000</w:t>
            </w:r>
          </w:p>
        </w:tc>
        <w:tc>
          <w:tcPr>
            <w:tcW w:w="97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30" w:type="dxa"/>
            <w:vAlign w:val="bottom"/>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$73.60</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12/1/2027</w:t>
            </w:r>
          </w:p>
        </w:tc>
        <w:tc>
          <w:tcPr>
            <w:tcW w:w="2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2/7/2019</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83,341</w:t>
            </w:r>
          </w:p>
        </w:tc>
        <w:tc>
          <w:tcPr>
            <w:tcW w:w="97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30" w:type="dxa"/>
            <w:vAlign w:val="bottom"/>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$81.05</w:t>
            </w:r>
          </w:p>
        </w:tc>
        <w:tc>
          <w:tcPr>
            <w:tcW w:w="10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2/7/2029 (2)</w:t>
            </w: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2/6/2020</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58,791</w:t>
            </w:r>
          </w:p>
        </w:tc>
        <w:tc>
          <w:tcPr>
            <w:tcW w:w="97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2,556</w:t>
            </w:r>
          </w:p>
        </w:tc>
        <w:tc>
          <w:tcPr>
            <w:tcW w:w="930" w:type="dxa"/>
            <w:vAlign w:val="bottom"/>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$102.90</w:t>
            </w:r>
          </w:p>
        </w:tc>
        <w:tc>
          <w:tcPr>
            <w:tcW w:w="10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2/6/2030 (2)</w:t>
            </w: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2,430</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$320,177</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2/8/2021</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34,743</w:t>
            </w:r>
          </w:p>
        </w:tc>
        <w:tc>
          <w:tcPr>
            <w:tcW w:w="97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14,306</w:t>
            </w:r>
          </w:p>
        </w:tc>
        <w:tc>
          <w:tcPr>
            <w:tcW w:w="930" w:type="dxa"/>
            <w:vAlign w:val="bottom"/>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$117.63</w:t>
            </w:r>
          </w:p>
        </w:tc>
        <w:tc>
          <w:tcPr>
            <w:tcW w:w="10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2/8/2031 (2)</w:t>
            </w: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3,720</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$490,147</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1/31/2022</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31,798</w:t>
            </w:r>
          </w:p>
        </w:tc>
        <w:tc>
          <w:tcPr>
            <w:tcW w:w="97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34,564</w:t>
            </w:r>
          </w:p>
        </w:tc>
        <w:tc>
          <w:tcPr>
            <w:tcW w:w="930" w:type="dxa"/>
            <w:vAlign w:val="bottom"/>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$79.02</w:t>
            </w:r>
          </w:p>
        </w:tc>
        <w:tc>
          <w:tcPr>
            <w:tcW w:w="10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1/31/2032 (2)</w:t>
            </w: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7,309</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$963,034</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6,075</w:t>
            </w:r>
          </w:p>
        </w:tc>
        <w:tc>
          <w:tcPr>
            <w:tcW w:w="2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93"/>
              </w:rPr>
              <w:t>(4)</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$800,442</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2/13/2023</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13,289</w:t>
            </w:r>
          </w:p>
        </w:tc>
        <w:tc>
          <w:tcPr>
            <w:tcW w:w="97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50,500</w:t>
            </w:r>
          </w:p>
        </w:tc>
        <w:tc>
          <w:tcPr>
            <w:tcW w:w="930" w:type="dxa"/>
            <w:vAlign w:val="bottom"/>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$103.52</w:t>
            </w:r>
          </w:p>
        </w:tc>
        <w:tc>
          <w:tcPr>
            <w:tcW w:w="10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2/13/2033 (2)</w:t>
            </w: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10,264</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$1,352,385</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5/19/2023</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7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30" w:type="dxa"/>
            <w:vAlign w:val="bottom"/>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7,974</w:t>
            </w:r>
          </w:p>
        </w:tc>
        <w:tc>
          <w:tcPr>
            <w:tcW w:w="2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93"/>
              </w:rPr>
              <w:t>(5)</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$1,050,654</w:t>
            </w: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70" w:type="dxa"/>
            <w:vAlign w:val="bottom"/>
          </w:tcPr>
          <w:p>
            <w:pPr>
              <w:spacing w:after="0" w:line="20" w:lineRule="exact"/>
              <w:rPr>
                <w:sz w:val="1"/>
                <w:szCs w:val="1"/>
                <w:color w:val="auto"/>
              </w:rPr>
            </w:pPr>
          </w:p>
        </w:tc>
        <w:tc>
          <w:tcPr>
            <w:tcW w:w="93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Kyle W. Gano, Ph.D.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1/16/2014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75,000</w:t>
            </w:r>
          </w:p>
        </w:tc>
        <w:tc>
          <w:tcPr>
            <w:tcW w:w="9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30" w:type="dxa"/>
            <w:vAlign w:val="bottom"/>
            <w:shd w:val="clear" w:color="auto" w:fill="CCEEFF"/>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$19.59</w:t>
            </w:r>
          </w:p>
        </w:tc>
        <w:tc>
          <w:tcPr>
            <w:tcW w:w="10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1/16/2024 (2)</w:t>
            </w:r>
          </w:p>
        </w:tc>
        <w:tc>
          <w:tcPr>
            <w:tcW w:w="10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2"/>
        </w:trPr>
        <w:tc>
          <w:tcPr>
            <w:tcW w:w="1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2/3/2015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65,000</w:t>
            </w:r>
          </w:p>
        </w:tc>
        <w:tc>
          <w:tcPr>
            <w:tcW w:w="9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30" w:type="dxa"/>
            <w:vAlign w:val="bottom"/>
            <w:shd w:val="clear" w:color="auto" w:fill="CCEEFF"/>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$32.99</w:t>
            </w:r>
          </w:p>
        </w:tc>
        <w:tc>
          <w:tcPr>
            <w:tcW w:w="10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2/3/2025 (2)</w:t>
            </w:r>
          </w:p>
        </w:tc>
        <w:tc>
          <w:tcPr>
            <w:tcW w:w="10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2"/>
        </w:trPr>
        <w:tc>
          <w:tcPr>
            <w:tcW w:w="1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2/5/2016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36,400</w:t>
            </w:r>
          </w:p>
        </w:tc>
        <w:tc>
          <w:tcPr>
            <w:tcW w:w="9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30" w:type="dxa"/>
            <w:vAlign w:val="bottom"/>
            <w:shd w:val="clear" w:color="auto" w:fill="CCEEFF"/>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$35.99</w:t>
            </w:r>
          </w:p>
        </w:tc>
        <w:tc>
          <w:tcPr>
            <w:tcW w:w="10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2/5/2026 (2)</w:t>
            </w:r>
          </w:p>
        </w:tc>
        <w:tc>
          <w:tcPr>
            <w:tcW w:w="10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2"/>
        </w:trPr>
        <w:tc>
          <w:tcPr>
            <w:tcW w:w="1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2/6/2017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60,000</w:t>
            </w:r>
          </w:p>
        </w:tc>
        <w:tc>
          <w:tcPr>
            <w:tcW w:w="9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30" w:type="dxa"/>
            <w:vAlign w:val="bottom"/>
            <w:shd w:val="clear" w:color="auto" w:fill="CCEEFF"/>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$43.24</w:t>
            </w:r>
          </w:p>
        </w:tc>
        <w:tc>
          <w:tcPr>
            <w:tcW w:w="10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2/6/2027 (2)</w:t>
            </w:r>
          </w:p>
        </w:tc>
        <w:tc>
          <w:tcPr>
            <w:tcW w:w="10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2"/>
        </w:trPr>
        <w:tc>
          <w:tcPr>
            <w:tcW w:w="1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2/5/2018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30,400</w:t>
            </w:r>
          </w:p>
        </w:tc>
        <w:tc>
          <w:tcPr>
            <w:tcW w:w="9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30" w:type="dxa"/>
            <w:vAlign w:val="bottom"/>
            <w:shd w:val="clear" w:color="auto" w:fill="CCEEFF"/>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$81.49</w:t>
            </w:r>
          </w:p>
        </w:tc>
        <w:tc>
          <w:tcPr>
            <w:tcW w:w="10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2/5/2028 (2)</w:t>
            </w:r>
          </w:p>
        </w:tc>
        <w:tc>
          <w:tcPr>
            <w:tcW w:w="10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2"/>
        </w:trPr>
        <w:tc>
          <w:tcPr>
            <w:tcW w:w="1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2/7/2019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66,673</w:t>
            </w:r>
          </w:p>
        </w:tc>
        <w:tc>
          <w:tcPr>
            <w:tcW w:w="9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30" w:type="dxa"/>
            <w:vAlign w:val="bottom"/>
            <w:shd w:val="clear" w:color="auto" w:fill="CCEEFF"/>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$81.05</w:t>
            </w:r>
          </w:p>
        </w:tc>
        <w:tc>
          <w:tcPr>
            <w:tcW w:w="10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2/7/2029 (2)</w:t>
            </w:r>
          </w:p>
        </w:tc>
        <w:tc>
          <w:tcPr>
            <w:tcW w:w="10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2"/>
        </w:trPr>
        <w:tc>
          <w:tcPr>
            <w:tcW w:w="1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2/6/2020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73,488</w:t>
            </w:r>
          </w:p>
        </w:tc>
        <w:tc>
          <w:tcPr>
            <w:tcW w:w="9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3,195</w:t>
            </w:r>
          </w:p>
        </w:tc>
        <w:tc>
          <w:tcPr>
            <w:tcW w:w="930" w:type="dxa"/>
            <w:vAlign w:val="bottom"/>
            <w:shd w:val="clear" w:color="auto" w:fill="CCEEFF"/>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$102.90</w:t>
            </w:r>
          </w:p>
        </w:tc>
        <w:tc>
          <w:tcPr>
            <w:tcW w:w="10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2/6/2030 (2)</w:t>
            </w:r>
          </w:p>
        </w:tc>
        <w:tc>
          <w:tcPr>
            <w:tcW w:w="10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3,037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$400,155</w:t>
            </w: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2"/>
        </w:trPr>
        <w:tc>
          <w:tcPr>
            <w:tcW w:w="1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2/8/2021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34,743</w:t>
            </w:r>
          </w:p>
        </w:tc>
        <w:tc>
          <w:tcPr>
            <w:tcW w:w="9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14,306</w:t>
            </w:r>
          </w:p>
        </w:tc>
        <w:tc>
          <w:tcPr>
            <w:tcW w:w="930" w:type="dxa"/>
            <w:vAlign w:val="bottom"/>
            <w:shd w:val="clear" w:color="auto" w:fill="CCEEFF"/>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$117.63</w:t>
            </w:r>
          </w:p>
        </w:tc>
        <w:tc>
          <w:tcPr>
            <w:tcW w:w="10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2/8/2031 (2)</w:t>
            </w:r>
          </w:p>
        </w:tc>
        <w:tc>
          <w:tcPr>
            <w:tcW w:w="10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3,720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$490,147</w:t>
            </w: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2"/>
        </w:trPr>
        <w:tc>
          <w:tcPr>
            <w:tcW w:w="1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1/31/2022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38,199</w:t>
            </w:r>
          </w:p>
        </w:tc>
        <w:tc>
          <w:tcPr>
            <w:tcW w:w="9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41,521</w:t>
            </w:r>
          </w:p>
        </w:tc>
        <w:tc>
          <w:tcPr>
            <w:tcW w:w="930" w:type="dxa"/>
            <w:vAlign w:val="bottom"/>
            <w:shd w:val="clear" w:color="auto" w:fill="CCEEFF"/>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$79.02</w:t>
            </w:r>
          </w:p>
        </w:tc>
        <w:tc>
          <w:tcPr>
            <w:tcW w:w="10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1/31/2032 (2)</w:t>
            </w:r>
          </w:p>
        </w:tc>
        <w:tc>
          <w:tcPr>
            <w:tcW w:w="10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8,780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$1,156,853</w:t>
            </w: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6,075</w:t>
            </w:r>
          </w:p>
        </w:tc>
        <w:tc>
          <w:tcPr>
            <w:tcW w:w="2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93"/>
              </w:rPr>
              <w:t>(4)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$800,442</w:t>
            </w:r>
          </w:p>
        </w:tc>
        <w:tc>
          <w:tcPr>
            <w:tcW w:w="0" w:type="dxa"/>
            <w:vAlign w:val="bottom"/>
          </w:tcPr>
          <w:p>
            <w:pPr>
              <w:spacing w:after="0"/>
              <w:rPr>
                <w:sz w:val="1"/>
                <w:szCs w:val="1"/>
                <w:color w:val="auto"/>
              </w:rPr>
            </w:pPr>
          </w:p>
        </w:tc>
      </w:tr>
      <w:tr>
        <w:trPr>
          <w:trHeight w:val="162"/>
        </w:trPr>
        <w:tc>
          <w:tcPr>
            <w:tcW w:w="1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2/13/2023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13,289</w:t>
            </w:r>
          </w:p>
        </w:tc>
        <w:tc>
          <w:tcPr>
            <w:tcW w:w="9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50,500</w:t>
            </w:r>
          </w:p>
        </w:tc>
        <w:tc>
          <w:tcPr>
            <w:tcW w:w="930" w:type="dxa"/>
            <w:vAlign w:val="bottom"/>
            <w:shd w:val="clear" w:color="auto" w:fill="CCEEFF"/>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$103.52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2/13/2033</w:t>
            </w:r>
          </w:p>
        </w:tc>
        <w:tc>
          <w:tcPr>
            <w:tcW w:w="2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w:t>
            </w:r>
          </w:p>
        </w:tc>
        <w:tc>
          <w:tcPr>
            <w:tcW w:w="10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10,264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$1,352,385</w:t>
            </w: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4"/>
        </w:trPr>
        <w:tc>
          <w:tcPr>
            <w:tcW w:w="16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5/19/2023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7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30" w:type="dxa"/>
            <w:vAlign w:val="bottom"/>
            <w:tcBorders>
              <w:bottom w:val="single" w:sz="8" w:color="CCEEFF"/>
            </w:tcBorders>
            <w:shd w:val="clear" w:color="auto" w:fill="CCEEFF"/>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7,974</w:t>
            </w:r>
          </w:p>
        </w:tc>
        <w:tc>
          <w:tcPr>
            <w:tcW w:w="2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93"/>
              </w:rPr>
              <w:t>(5)</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$1,050,654</w:t>
            </w:r>
          </w:p>
        </w:tc>
        <w:tc>
          <w:tcPr>
            <w:tcW w:w="0" w:type="dxa"/>
            <w:vAlign w:val="bottom"/>
          </w:tcPr>
          <w:p>
            <w:pPr>
              <w:spacing w:after="0"/>
              <w:rPr>
                <w:sz w:val="1"/>
                <w:szCs w:val="1"/>
                <w:color w:val="auto"/>
              </w:rPr>
            </w:pPr>
          </w:p>
        </w:tc>
      </w:tr>
      <w:tr>
        <w:trPr>
          <w:trHeight w:val="140"/>
        </w:trPr>
        <w:tc>
          <w:tcPr>
            <w:tcW w:w="1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Jude Onyia, Ph.D.</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44529</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62,588</w:t>
            </w:r>
          </w:p>
        </w:tc>
        <w:tc>
          <w:tcPr>
            <w:tcW w:w="97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57,581</w:t>
            </w:r>
          </w:p>
        </w:tc>
        <w:tc>
          <w:tcPr>
            <w:tcW w:w="930" w:type="dxa"/>
            <w:vAlign w:val="bottom"/>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$84.74</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11/29/2031</w:t>
            </w:r>
          </w:p>
        </w:tc>
        <w:tc>
          <w:tcPr>
            <w:tcW w:w="2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8,852</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$1,166,340</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1/31/2022</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3,097</w:t>
            </w:r>
          </w:p>
        </w:tc>
        <w:tc>
          <w:tcPr>
            <w:tcW w:w="97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3,367</w:t>
            </w:r>
          </w:p>
        </w:tc>
        <w:tc>
          <w:tcPr>
            <w:tcW w:w="930" w:type="dxa"/>
            <w:vAlign w:val="bottom"/>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$79.02</w:t>
            </w:r>
          </w:p>
        </w:tc>
        <w:tc>
          <w:tcPr>
            <w:tcW w:w="10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1/31/2032 (2)</w:t>
            </w: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713</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$93,945</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9,112</w:t>
            </w:r>
          </w:p>
        </w:tc>
        <w:tc>
          <w:tcPr>
            <w:tcW w:w="2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93"/>
              </w:rPr>
              <w:t>(4)</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$1,200,597</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2/13/2023</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14,071</w:t>
            </w:r>
          </w:p>
        </w:tc>
        <w:tc>
          <w:tcPr>
            <w:tcW w:w="97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53,470</w:t>
            </w:r>
          </w:p>
        </w:tc>
        <w:tc>
          <w:tcPr>
            <w:tcW w:w="930" w:type="dxa"/>
            <w:vAlign w:val="bottom"/>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$103.52</w:t>
            </w:r>
          </w:p>
        </w:tc>
        <w:tc>
          <w:tcPr>
            <w:tcW w:w="10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2/13/2033 (2)</w:t>
            </w: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10,868</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$1,431,968</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5/19/2023</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7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30" w:type="dxa"/>
            <w:vAlign w:val="bottom"/>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15,948</w:t>
            </w:r>
          </w:p>
        </w:tc>
        <w:tc>
          <w:tcPr>
            <w:tcW w:w="2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93"/>
              </w:rPr>
              <w:t>(5)</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$2,101,308</w:t>
            </w: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70" w:type="dxa"/>
            <w:vAlign w:val="bottom"/>
          </w:tcPr>
          <w:p>
            <w:pPr>
              <w:spacing w:after="0" w:line="20" w:lineRule="exact"/>
              <w:rPr>
                <w:sz w:val="1"/>
                <w:szCs w:val="1"/>
                <w:color w:val="auto"/>
              </w:rPr>
            </w:pPr>
          </w:p>
        </w:tc>
        <w:tc>
          <w:tcPr>
            <w:tcW w:w="93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Eiry W. Roberts, M.D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1/8/2018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5,140</w:t>
            </w:r>
          </w:p>
        </w:tc>
        <w:tc>
          <w:tcPr>
            <w:tcW w:w="9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30" w:type="dxa"/>
            <w:vAlign w:val="bottom"/>
            <w:shd w:val="clear" w:color="auto" w:fill="CCEEFF"/>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$77.81</w:t>
            </w:r>
          </w:p>
        </w:tc>
        <w:tc>
          <w:tcPr>
            <w:tcW w:w="10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1/8/2028 (1)</w:t>
            </w:r>
          </w:p>
        </w:tc>
        <w:tc>
          <w:tcPr>
            <w:tcW w:w="10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2"/>
        </w:trPr>
        <w:tc>
          <w:tcPr>
            <w:tcW w:w="1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2/7/2019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40,673</w:t>
            </w:r>
          </w:p>
        </w:tc>
        <w:tc>
          <w:tcPr>
            <w:tcW w:w="9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30" w:type="dxa"/>
            <w:vAlign w:val="bottom"/>
            <w:shd w:val="clear" w:color="auto" w:fill="CCEEFF"/>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$81.05</w:t>
            </w:r>
          </w:p>
        </w:tc>
        <w:tc>
          <w:tcPr>
            <w:tcW w:w="10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2/7/2029 (2)</w:t>
            </w:r>
          </w:p>
        </w:tc>
        <w:tc>
          <w:tcPr>
            <w:tcW w:w="10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2"/>
        </w:trPr>
        <w:tc>
          <w:tcPr>
            <w:tcW w:w="1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2/6/2020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51,441</w:t>
            </w:r>
          </w:p>
        </w:tc>
        <w:tc>
          <w:tcPr>
            <w:tcW w:w="9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2,237</w:t>
            </w:r>
          </w:p>
        </w:tc>
        <w:tc>
          <w:tcPr>
            <w:tcW w:w="930" w:type="dxa"/>
            <w:vAlign w:val="bottom"/>
            <w:shd w:val="clear" w:color="auto" w:fill="CCEEFF"/>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$102.90</w:t>
            </w:r>
          </w:p>
        </w:tc>
        <w:tc>
          <w:tcPr>
            <w:tcW w:w="10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2/6/2030 (2)</w:t>
            </w:r>
          </w:p>
        </w:tc>
        <w:tc>
          <w:tcPr>
            <w:tcW w:w="10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2,126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$280,122</w:t>
            </w: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2"/>
        </w:trPr>
        <w:tc>
          <w:tcPr>
            <w:tcW w:w="1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2/8/2021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34,743</w:t>
            </w:r>
          </w:p>
        </w:tc>
        <w:tc>
          <w:tcPr>
            <w:tcW w:w="9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14,306</w:t>
            </w:r>
          </w:p>
        </w:tc>
        <w:tc>
          <w:tcPr>
            <w:tcW w:w="930" w:type="dxa"/>
            <w:vAlign w:val="bottom"/>
            <w:shd w:val="clear" w:color="auto" w:fill="CCEEFF"/>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$117.63</w:t>
            </w:r>
          </w:p>
        </w:tc>
        <w:tc>
          <w:tcPr>
            <w:tcW w:w="10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2/8/2031 (2)</w:t>
            </w:r>
          </w:p>
        </w:tc>
        <w:tc>
          <w:tcPr>
            <w:tcW w:w="10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3,720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$490,147</w:t>
            </w: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2"/>
        </w:trPr>
        <w:tc>
          <w:tcPr>
            <w:tcW w:w="1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1/31/2022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21,994</w:t>
            </w:r>
          </w:p>
        </w:tc>
        <w:tc>
          <w:tcPr>
            <w:tcW w:w="9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39,277</w:t>
            </w:r>
          </w:p>
        </w:tc>
        <w:tc>
          <w:tcPr>
            <w:tcW w:w="930" w:type="dxa"/>
            <w:vAlign w:val="bottom"/>
            <w:shd w:val="clear" w:color="auto" w:fill="CCEEFF"/>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$79.02</w:t>
            </w:r>
          </w:p>
        </w:tc>
        <w:tc>
          <w:tcPr>
            <w:tcW w:w="10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1/31/2032 (2)</w:t>
            </w:r>
          </w:p>
        </w:tc>
        <w:tc>
          <w:tcPr>
            <w:tcW w:w="10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8,306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$1,094,399</w:t>
            </w: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9,112</w:t>
            </w:r>
          </w:p>
        </w:tc>
        <w:tc>
          <w:tcPr>
            <w:tcW w:w="2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93"/>
              </w:rPr>
              <w:t>(4)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$1,200,597</w:t>
            </w:r>
          </w:p>
        </w:tc>
        <w:tc>
          <w:tcPr>
            <w:tcW w:w="0" w:type="dxa"/>
            <w:vAlign w:val="bottom"/>
          </w:tcPr>
          <w:p>
            <w:pPr>
              <w:spacing w:after="0"/>
              <w:rPr>
                <w:sz w:val="1"/>
                <w:szCs w:val="1"/>
                <w:color w:val="auto"/>
              </w:rPr>
            </w:pPr>
          </w:p>
        </w:tc>
      </w:tr>
      <w:tr>
        <w:trPr>
          <w:trHeight w:val="162"/>
        </w:trPr>
        <w:tc>
          <w:tcPr>
            <w:tcW w:w="1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2/13/2023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10,944</w:t>
            </w:r>
          </w:p>
        </w:tc>
        <w:tc>
          <w:tcPr>
            <w:tcW w:w="9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41,588</w:t>
            </w:r>
          </w:p>
        </w:tc>
        <w:tc>
          <w:tcPr>
            <w:tcW w:w="930" w:type="dxa"/>
            <w:vAlign w:val="bottom"/>
            <w:shd w:val="clear" w:color="auto" w:fill="CCEEFF"/>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$103.52</w:t>
            </w:r>
          </w:p>
        </w:tc>
        <w:tc>
          <w:tcPr>
            <w:tcW w:w="10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2/13/2033 (2)</w:t>
            </w:r>
          </w:p>
        </w:tc>
        <w:tc>
          <w:tcPr>
            <w:tcW w:w="10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8,453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$1,113,767</w:t>
            </w: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2"/>
        </w:trPr>
        <w:tc>
          <w:tcPr>
            <w:tcW w:w="1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5/19/2023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30" w:type="dxa"/>
            <w:vAlign w:val="bottom"/>
            <w:shd w:val="clear" w:color="auto" w:fill="CCEEFF"/>
          </w:tcPr>
          <w:p>
            <w:pPr>
              <w:ind w:left="79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13,290</w:t>
            </w:r>
          </w:p>
        </w:tc>
        <w:tc>
          <w:tcPr>
            <w:tcW w:w="2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93"/>
              </w:rPr>
              <w:t>(5)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$1,751,090</w:t>
            </w:r>
          </w:p>
        </w:tc>
        <w:tc>
          <w:tcPr>
            <w:tcW w:w="0" w:type="dxa"/>
            <w:vAlign w:val="bottom"/>
          </w:tcPr>
          <w:p>
            <w:pPr>
              <w:spacing w:after="0"/>
              <w:rPr>
                <w:sz w:val="1"/>
                <w:szCs w:val="1"/>
                <w:color w:val="auto"/>
              </w:rPr>
            </w:pPr>
          </w:p>
        </w:tc>
      </w:tr>
      <w:tr>
        <w:trPr>
          <w:trHeight w:val="22"/>
        </w:trPr>
        <w:tc>
          <w:tcPr>
            <w:tcW w:w="16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970" w:type="dxa"/>
            <w:vAlign w:val="bottom"/>
            <w:shd w:val="clear" w:color="auto" w:fill="CCEEFF"/>
          </w:tcPr>
          <w:p>
            <w:pPr>
              <w:spacing w:after="0" w:line="20" w:lineRule="exact"/>
              <w:rPr>
                <w:sz w:val="1"/>
                <w:szCs w:val="1"/>
                <w:color w:val="auto"/>
              </w:rPr>
            </w:pPr>
          </w:p>
        </w:tc>
        <w:tc>
          <w:tcPr>
            <w:tcW w:w="93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9" w:lineRule="exact"/>
        <w:rPr>
          <w:sz w:val="20"/>
          <w:szCs w:val="20"/>
          <w:color w:val="auto"/>
        </w:rPr>
      </w:pPr>
    </w:p>
    <w:p>
      <w:pPr>
        <w:ind w:left="560" w:hanging="552"/>
        <w:spacing w:after="0"/>
        <w:tabs>
          <w:tab w:leader="none" w:pos="5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Vests monthly over four years, subject to an initial one-year “cliff.”</w:t>
      </w:r>
    </w:p>
    <w:p>
      <w:pPr>
        <w:spacing w:after="0" w:line="28" w:lineRule="exact"/>
        <w:rPr>
          <w:rFonts w:ascii="Times New Roman" w:cs="Times New Roman" w:eastAsia="Times New Roman" w:hAnsi="Times New Roman"/>
          <w:sz w:val="14"/>
          <w:szCs w:val="14"/>
          <w:color w:val="auto"/>
        </w:rPr>
      </w:pPr>
    </w:p>
    <w:p>
      <w:pPr>
        <w:ind w:left="560" w:hanging="552"/>
        <w:spacing w:after="0"/>
        <w:tabs>
          <w:tab w:leader="none" w:pos="5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Vests monthly over four years.</w:t>
      </w:r>
    </w:p>
    <w:p>
      <w:pPr>
        <w:spacing w:after="0" w:line="41" w:lineRule="exact"/>
        <w:rPr>
          <w:rFonts w:ascii="Times New Roman" w:cs="Times New Roman" w:eastAsia="Times New Roman" w:hAnsi="Times New Roman"/>
          <w:sz w:val="14"/>
          <w:szCs w:val="14"/>
          <w:color w:val="auto"/>
        </w:rPr>
      </w:pPr>
    </w:p>
    <w:p>
      <w:pPr>
        <w:ind w:left="560" w:hanging="552"/>
        <w:spacing w:after="0"/>
        <w:tabs>
          <w:tab w:leader="none" w:pos="5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Vests annually over four years.</w:t>
      </w:r>
    </w:p>
    <w:p>
      <w:pPr>
        <w:spacing w:after="0" w:line="41" w:lineRule="exact"/>
        <w:rPr>
          <w:rFonts w:ascii="Times New Roman" w:cs="Times New Roman" w:eastAsia="Times New Roman" w:hAnsi="Times New Roman"/>
          <w:sz w:val="14"/>
          <w:szCs w:val="14"/>
          <w:color w:val="auto"/>
        </w:rPr>
      </w:pPr>
    </w:p>
    <w:p>
      <w:pPr>
        <w:ind w:left="580" w:right="80" w:hanging="572"/>
        <w:spacing w:after="0"/>
        <w:tabs>
          <w:tab w:leader="none" w:pos="572"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PRSUs. Represents the target number of shares that may be earned under the PRSUs granted to NEOs in 2022 under the Company’s 2020 Plan. The PRSUs will vest on the date, or dates, that the Committee determines achievement of two underlying performance metrics, each of which must occur by December 31, 2024. Such metrics relate to the advancement of certain clinical programs which we believe will drive stockholder value within the 36-month performance period commencing on January 1, 2022 and ending on December 31, 2024. The actual number of units subject to the PRSUs will be determined based on the level of achievement of such metrics, with minimum, target and maximum levels specified.</w:t>
      </w:r>
    </w:p>
    <w:p>
      <w:pPr>
        <w:spacing w:after="0" w:line="125" w:lineRule="exact"/>
        <w:rPr>
          <w:rFonts w:ascii="Times New Roman" w:cs="Times New Roman" w:eastAsia="Times New Roman" w:hAnsi="Times New Roman"/>
          <w:sz w:val="14"/>
          <w:szCs w:val="14"/>
          <w:color w:val="auto"/>
        </w:rPr>
      </w:pPr>
    </w:p>
    <w:p>
      <w:pPr>
        <w:ind w:left="580" w:right="100" w:hanging="572"/>
        <w:spacing w:after="0" w:line="225" w:lineRule="auto"/>
        <w:tabs>
          <w:tab w:leader="none" w:pos="572"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PRSUs. Represents the target number of shares that may be earned under the PRSUs granted to NEOs in 2023 under the Company’s 2020 Plan. The PRSUs will vest on the date, or dates, that the Committee determines achievement of two underlying performance metrics, each of which must occur by December 31, 2025. Such metrics relate to regulatory milestones and the advancement of certain clinical programs which we believe will drive stockholder value within the 36-month performance period commencing on January 1, 2023 and ending on December 31, 2025. The actual number of units subject to the PRSUs will be determined based on the level of achievement of such metrics, with minimum, target and maximum levels specified.</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Option Exercises and Stock Vested During the Year. </w:t>
      </w:r>
      <w:r>
        <w:rPr>
          <w:rFonts w:ascii="Times New Roman" w:cs="Times New Roman" w:eastAsia="Times New Roman" w:hAnsi="Times New Roman"/>
          <w:sz w:val="18"/>
          <w:szCs w:val="18"/>
          <w:color w:val="auto"/>
        </w:rPr>
        <w:t>The following table sets forth the options exercised and stock awards that vested during 2023 along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their respective values at December 31, 2023 for the NEOs: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Option Exercises and Stock Vested Table</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Option Awards (1)</w:t>
            </w:r>
          </w:p>
        </w:tc>
        <w:tc>
          <w:tcPr>
            <w:tcW w:w="2800" w:type="dxa"/>
            <w:vAlign w:val="bottom"/>
            <w:gridSpan w:val="3"/>
          </w:tcPr>
          <w:p>
            <w:pPr>
              <w:jc w:val="right"/>
              <w:ind w:right="802"/>
              <w:spacing w:after="0"/>
              <w:rPr>
                <w:sz w:val="20"/>
                <w:szCs w:val="20"/>
                <w:color w:val="auto"/>
              </w:rPr>
            </w:pPr>
            <w:r>
              <w:rPr>
                <w:rFonts w:ascii="Times New Roman" w:cs="Times New Roman" w:eastAsia="Times New Roman" w:hAnsi="Times New Roman"/>
                <w:sz w:val="14"/>
                <w:szCs w:val="14"/>
                <w:b w:val="1"/>
                <w:bCs w:val="1"/>
                <w:color w:val="auto"/>
              </w:rPr>
              <w:t>Stock Awards (2)</w:t>
            </w:r>
          </w:p>
        </w:tc>
        <w:tc>
          <w:tcPr>
            <w:tcW w:w="0" w:type="dxa"/>
            <w:vAlign w:val="bottom"/>
          </w:tcPr>
          <w:p>
            <w:pPr>
              <w:spacing w:after="0"/>
              <w:rPr>
                <w:sz w:val="1"/>
                <w:szCs w:val="1"/>
                <w:color w:val="auto"/>
              </w:rPr>
            </w:pPr>
          </w:p>
        </w:tc>
      </w:tr>
      <w:tr>
        <w:trPr>
          <w:trHeight w:val="23"/>
        </w:trPr>
        <w:tc>
          <w:tcPr>
            <w:tcW w:w="5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4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40" w:type="dxa"/>
            <w:vAlign w:val="bottom"/>
            <w:gridSpan w:val="2"/>
            <w:vMerge w:val="continue"/>
          </w:tcPr>
          <w:p>
            <w:pPr>
              <w:spacing w:after="0"/>
              <w:rPr>
                <w:sz w:val="12"/>
                <w:szCs w:val="12"/>
                <w:color w:val="auto"/>
              </w:rPr>
            </w:pP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6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4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Realized on</w:t>
            </w:r>
          </w:p>
        </w:tc>
        <w:tc>
          <w:tcPr>
            <w:tcW w:w="14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Realized on</w:t>
            </w:r>
          </w:p>
        </w:tc>
        <w:tc>
          <w:tcPr>
            <w:tcW w:w="0" w:type="dxa"/>
            <w:vAlign w:val="bottom"/>
          </w:tcPr>
          <w:p>
            <w:pPr>
              <w:spacing w:after="0"/>
              <w:rPr>
                <w:sz w:val="1"/>
                <w:szCs w:val="1"/>
                <w:color w:val="auto"/>
              </w:rPr>
            </w:pPr>
          </w:p>
        </w:tc>
      </w:tr>
      <w:tr>
        <w:trPr>
          <w:trHeight w:val="198"/>
        </w:trPr>
        <w:tc>
          <w:tcPr>
            <w:tcW w:w="5500" w:type="dxa"/>
            <w:vAlign w:val="bottom"/>
            <w:gridSpan w:val="2"/>
            <w:vMerge w:val="continue"/>
          </w:tcPr>
          <w:p>
            <w:pPr>
              <w:spacing w:after="0"/>
              <w:rPr>
                <w:sz w:val="17"/>
                <w:szCs w:val="17"/>
                <w:color w:val="auto"/>
              </w:rPr>
            </w:pPr>
          </w:p>
        </w:tc>
        <w:tc>
          <w:tcPr>
            <w:tcW w:w="14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Exercise (#)</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Exercise ($) (3)</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Vesting (#)</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 ($) (4)</w:t>
            </w:r>
          </w:p>
        </w:tc>
        <w:tc>
          <w:tcPr>
            <w:tcW w:w="0" w:type="dxa"/>
            <w:vAlign w:val="bottom"/>
          </w:tcPr>
          <w:p>
            <w:pPr>
              <w:spacing w:after="0"/>
              <w:rPr>
                <w:sz w:val="1"/>
                <w:szCs w:val="1"/>
                <w:color w:val="auto"/>
              </w:rPr>
            </w:pPr>
          </w:p>
        </w:tc>
      </w:tr>
      <w:tr>
        <w:trPr>
          <w:trHeight w:val="215"/>
        </w:trPr>
        <w:tc>
          <w:tcPr>
            <w:tcW w:w="5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Kevin C. Gorman, Ph.D.</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77,989</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$8,222,913</w:t>
            </w:r>
          </w:p>
        </w:tc>
        <w:tc>
          <w:tcPr>
            <w:tcW w:w="0" w:type="dxa"/>
            <w:vAlign w:val="bottom"/>
          </w:tcPr>
          <w:p>
            <w:pPr>
              <w:spacing w:after="0"/>
              <w:rPr>
                <w:sz w:val="1"/>
                <w:szCs w:val="1"/>
                <w:color w:val="auto"/>
              </w:rPr>
            </w:pPr>
          </w:p>
        </w:tc>
      </w:tr>
      <w:tr>
        <w:trPr>
          <w:trHeight w:val="213"/>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Matthew C. Abernethy</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38,930</w:t>
            </w:r>
          </w:p>
        </w:tc>
        <w:tc>
          <w:tcPr>
            <w:tcW w:w="80" w:type="dxa"/>
            <w:vAlign w:val="bottom"/>
          </w:tcPr>
          <w:p>
            <w:pPr>
              <w:spacing w:after="0"/>
              <w:rPr>
                <w:sz w:val="18"/>
                <w:szCs w:val="18"/>
                <w:color w:val="auto"/>
              </w:rPr>
            </w:pPr>
          </w:p>
        </w:tc>
        <w:tc>
          <w:tcPr>
            <w:tcW w:w="13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$4,081,420</w:t>
            </w:r>
          </w:p>
        </w:tc>
        <w:tc>
          <w:tcPr>
            <w:tcW w:w="0" w:type="dxa"/>
            <w:vAlign w:val="bottom"/>
          </w:tcPr>
          <w:p>
            <w:pPr>
              <w:spacing w:after="0"/>
              <w:rPr>
                <w:sz w:val="1"/>
                <w:szCs w:val="1"/>
                <w:color w:val="auto"/>
              </w:rPr>
            </w:pPr>
          </w:p>
        </w:tc>
      </w:tr>
      <w:tr>
        <w:trPr>
          <w:trHeight w:val="219"/>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Kyle W. Gano, Ph.D.</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39,256</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$4,119,477</w:t>
            </w:r>
          </w:p>
        </w:tc>
        <w:tc>
          <w:tcPr>
            <w:tcW w:w="0" w:type="dxa"/>
            <w:vAlign w:val="bottom"/>
          </w:tcPr>
          <w:p>
            <w:pPr>
              <w:spacing w:after="0"/>
              <w:rPr>
                <w:sz w:val="1"/>
                <w:szCs w:val="1"/>
                <w:color w:val="auto"/>
              </w:rPr>
            </w:pPr>
          </w:p>
        </w:tc>
      </w:tr>
      <w:tr>
        <w:trPr>
          <w:trHeight w:val="213"/>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Jude Onyia, Ph.D.</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19,293</w:t>
            </w:r>
          </w:p>
        </w:tc>
        <w:tc>
          <w:tcPr>
            <w:tcW w:w="80" w:type="dxa"/>
            <w:vAlign w:val="bottom"/>
          </w:tcPr>
          <w:p>
            <w:pPr>
              <w:spacing w:after="0"/>
              <w:rPr>
                <w:sz w:val="18"/>
                <w:szCs w:val="18"/>
                <w:color w:val="auto"/>
              </w:rPr>
            </w:pPr>
          </w:p>
        </w:tc>
        <w:tc>
          <w:tcPr>
            <w:tcW w:w="13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$2,075,033</w:t>
            </w:r>
          </w:p>
        </w:tc>
        <w:tc>
          <w:tcPr>
            <w:tcW w:w="0" w:type="dxa"/>
            <w:vAlign w:val="bottom"/>
          </w:tcPr>
          <w:p>
            <w:pPr>
              <w:spacing w:after="0"/>
              <w:rPr>
                <w:sz w:val="1"/>
                <w:szCs w:val="1"/>
                <w:color w:val="auto"/>
              </w:rPr>
            </w:pPr>
          </w:p>
        </w:tc>
      </w:tr>
      <w:tr>
        <w:trPr>
          <w:trHeight w:val="219"/>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Eiry W. Roberts, M.D.</w:t>
            </w:r>
          </w:p>
        </w:tc>
        <w:tc>
          <w:tcPr>
            <w:tcW w:w="13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4,151,021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40,212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$4,225,625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9" w:lineRule="exact"/>
        <w:rPr>
          <w:sz w:val="20"/>
          <w:szCs w:val="20"/>
          <w:color w:val="auto"/>
        </w:rPr>
      </w:pPr>
    </w:p>
    <w:p>
      <w:pPr>
        <w:ind w:left="320" w:hanging="312"/>
        <w:spacing w:after="0"/>
        <w:tabs>
          <w:tab w:leader="none" w:pos="3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relates to stock option exercises during 2023.</w:t>
      </w:r>
    </w:p>
    <w:p>
      <w:pPr>
        <w:spacing w:after="0" w:line="2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relates to RSUs and PRSUs that vested during 2023.</w:t>
      </w:r>
    </w:p>
    <w:p>
      <w:pPr>
        <w:spacing w:after="0" w:line="41" w:lineRule="exact"/>
        <w:rPr>
          <w:rFonts w:ascii="Times New Roman" w:cs="Times New Roman" w:eastAsia="Times New Roman" w:hAnsi="Times New Roman"/>
          <w:sz w:val="14"/>
          <w:szCs w:val="14"/>
          <w:color w:val="auto"/>
        </w:rPr>
      </w:pPr>
    </w:p>
    <w:p>
      <w:pPr>
        <w:ind w:left="560" w:hanging="552"/>
        <w:spacing w:after="0" w:line="251" w:lineRule="auto"/>
        <w:tabs>
          <w:tab w:leader="none" w:pos="321"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multiplying the number of shares acquired upon exercise of stock options by the difference between the exercise price and the market price of the Company’s common stock at the time of exercise.</w:t>
      </w:r>
    </w:p>
    <w:p>
      <w:pPr>
        <w:ind w:left="560" w:right="480" w:hanging="552"/>
        <w:spacing w:after="0" w:line="261" w:lineRule="auto"/>
        <w:tabs>
          <w:tab w:leader="none" w:pos="321"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multiplying the number of shares acquired upon vesting of RSUs and PRSUs by the average price of shares sold for purposes of satisfying federal and state income tax liabilities.</w:t>
      </w:r>
    </w:p>
    <w:p>
      <w:pPr>
        <w:spacing w:after="0" w:line="15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Potential Payments Upon Termination or Change-in-Control. </w:t>
      </w:r>
      <w:r>
        <w:rPr>
          <w:rFonts w:ascii="Times New Roman" w:cs="Times New Roman" w:eastAsia="Times New Roman" w:hAnsi="Times New Roman"/>
          <w:sz w:val="18"/>
          <w:szCs w:val="18"/>
          <w:color w:val="auto"/>
        </w:rPr>
        <w:t>The following tables set forth the potential severance benefits payable to the NEOs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of a termination prior to or following a change in control, assuming such event occurred on December 31, 2023:</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Potential Payment Upon Termination Table*</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Salary (1)</w:t>
            </w:r>
          </w:p>
        </w:tc>
        <w:tc>
          <w:tcPr>
            <w:tcW w:w="13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Bonus (2)</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Accrued</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Medical (5)</w:t>
            </w:r>
          </w:p>
        </w:tc>
        <w:tc>
          <w:tcPr>
            <w:tcW w:w="124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02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Compensation (3)</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Awards (4)</w:t>
            </w:r>
          </w:p>
        </w:tc>
        <w:tc>
          <w:tcPr>
            <w:tcW w:w="134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Kevin C. Gorman, Ph.D.</w:t>
            </w: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$1,182,500</w:t>
            </w: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$1,182,500</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$136,443</w:t>
            </w: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$8,801,736</w:t>
            </w: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$55,305</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$11,358,484</w:t>
            </w:r>
          </w:p>
        </w:tc>
        <w:tc>
          <w:tcPr>
            <w:tcW w:w="0" w:type="dxa"/>
            <w:vAlign w:val="bottom"/>
          </w:tcPr>
          <w:p>
            <w:pPr>
              <w:spacing w:after="0"/>
              <w:rPr>
                <w:sz w:val="1"/>
                <w:szCs w:val="1"/>
                <w:color w:val="auto"/>
              </w:rPr>
            </w:pPr>
          </w:p>
        </w:tc>
      </w:tr>
      <w:tr>
        <w:trPr>
          <w:trHeight w:val="213"/>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Matthew C. Abernethy</w:t>
            </w: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$646,061</w:t>
            </w:r>
          </w:p>
        </w:tc>
        <w:tc>
          <w:tcPr>
            <w:tcW w:w="8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$323,031</w:t>
            </w:r>
          </w:p>
        </w:tc>
        <w:tc>
          <w:tcPr>
            <w:tcW w:w="80" w:type="dxa"/>
            <w:vAlign w:val="bottom"/>
          </w:tcPr>
          <w:p>
            <w:pPr>
              <w:spacing w:after="0"/>
              <w:rPr>
                <w:sz w:val="18"/>
                <w:szCs w:val="18"/>
                <w:color w:val="auto"/>
              </w:rPr>
            </w:pPr>
          </w:p>
        </w:tc>
        <w:tc>
          <w:tcPr>
            <w:tcW w:w="1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$93,183</w:t>
            </w:r>
          </w:p>
        </w:tc>
        <w:tc>
          <w:tcPr>
            <w:tcW w:w="80" w:type="dxa"/>
            <w:vAlign w:val="bottom"/>
          </w:tcPr>
          <w:p>
            <w:pPr>
              <w:spacing w:after="0"/>
              <w:rPr>
                <w:sz w:val="18"/>
                <w:szCs w:val="18"/>
                <w:color w:val="auto"/>
              </w:rPr>
            </w:pP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$2,796,723</w:t>
            </w:r>
          </w:p>
        </w:tc>
        <w:tc>
          <w:tcPr>
            <w:tcW w:w="8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$34,992</w:t>
            </w:r>
          </w:p>
        </w:tc>
        <w:tc>
          <w:tcPr>
            <w:tcW w:w="10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$3,893,990</w:t>
            </w:r>
          </w:p>
        </w:tc>
        <w:tc>
          <w:tcPr>
            <w:tcW w:w="0" w:type="dxa"/>
            <w:vAlign w:val="bottom"/>
          </w:tcPr>
          <w:p>
            <w:pPr>
              <w:spacing w:after="0"/>
              <w:rPr>
                <w:sz w:val="1"/>
                <w:szCs w:val="1"/>
                <w:color w:val="auto"/>
              </w:rPr>
            </w:pPr>
          </w:p>
        </w:tc>
      </w:tr>
      <w:tr>
        <w:trPr>
          <w:trHeight w:val="219"/>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Kyle W. Gano, Ph.D.</w:t>
            </w: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$602,912</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$301,456</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$86,958</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$3,135,805</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$33,156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$4,160,287</w:t>
            </w:r>
          </w:p>
        </w:tc>
        <w:tc>
          <w:tcPr>
            <w:tcW w:w="0" w:type="dxa"/>
            <w:vAlign w:val="bottom"/>
          </w:tcPr>
          <w:p>
            <w:pPr>
              <w:spacing w:after="0"/>
              <w:rPr>
                <w:sz w:val="1"/>
                <w:szCs w:val="1"/>
                <w:color w:val="auto"/>
              </w:rPr>
            </w:pPr>
          </w:p>
        </w:tc>
      </w:tr>
      <w:tr>
        <w:trPr>
          <w:trHeight w:val="213"/>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Jude Onyia, Ph.D.</w:t>
            </w: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$638,250</w:t>
            </w:r>
          </w:p>
        </w:tc>
        <w:tc>
          <w:tcPr>
            <w:tcW w:w="8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$319,125</w:t>
            </w:r>
          </w:p>
        </w:tc>
        <w:tc>
          <w:tcPr>
            <w:tcW w:w="80" w:type="dxa"/>
            <w:vAlign w:val="bottom"/>
          </w:tcPr>
          <w:p>
            <w:pPr>
              <w:spacing w:after="0"/>
              <w:rPr>
                <w:sz w:val="18"/>
                <w:szCs w:val="18"/>
                <w:color w:val="auto"/>
              </w:rPr>
            </w:pPr>
          </w:p>
        </w:tc>
        <w:tc>
          <w:tcPr>
            <w:tcW w:w="1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$76,713</w:t>
            </w:r>
          </w:p>
        </w:tc>
        <w:tc>
          <w:tcPr>
            <w:tcW w:w="80" w:type="dxa"/>
            <w:vAlign w:val="bottom"/>
          </w:tcPr>
          <w:p>
            <w:pPr>
              <w:spacing w:after="0"/>
              <w:rPr>
                <w:sz w:val="18"/>
                <w:szCs w:val="18"/>
                <w:color w:val="auto"/>
              </w:rPr>
            </w:pP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$2,947,024</w:t>
            </w:r>
          </w:p>
        </w:tc>
        <w:tc>
          <w:tcPr>
            <w:tcW w:w="8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$37,380</w:t>
            </w:r>
          </w:p>
        </w:tc>
        <w:tc>
          <w:tcPr>
            <w:tcW w:w="10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$4,018,492</w:t>
            </w:r>
          </w:p>
        </w:tc>
        <w:tc>
          <w:tcPr>
            <w:tcW w:w="0" w:type="dxa"/>
            <w:vAlign w:val="bottom"/>
          </w:tcPr>
          <w:p>
            <w:pPr>
              <w:spacing w:after="0"/>
              <w:rPr>
                <w:sz w:val="1"/>
                <w:szCs w:val="1"/>
                <w:color w:val="auto"/>
              </w:rPr>
            </w:pPr>
          </w:p>
        </w:tc>
      </w:tr>
      <w:tr>
        <w:trPr>
          <w:trHeight w:val="219"/>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Eiry W. Roberts, M.D.</w:t>
            </w: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$660,348</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$330,174</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$79,395</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$2,771,321</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$42,456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$3,883,694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9"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Reflects a termination without cause or due to a constructive termination, or deemed termination, prior to a change in control.</w:t>
      </w:r>
    </w:p>
    <w:p>
      <w:pPr>
        <w:spacing w:after="0" w:line="28" w:lineRule="exact"/>
        <w:rPr>
          <w:sz w:val="20"/>
          <w:szCs w:val="20"/>
          <w:color w:val="auto"/>
        </w:rPr>
      </w:pPr>
    </w:p>
    <w:p>
      <w:pPr>
        <w:ind w:left="560" w:hanging="552"/>
        <w:spacing w:after="0"/>
        <w:tabs>
          <w:tab w:leader="none" w:pos="5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salary as of December 31, 2023.</w:t>
      </w:r>
    </w:p>
    <w:p>
      <w:pPr>
        <w:spacing w:after="0" w:line="41" w:lineRule="exact"/>
        <w:rPr>
          <w:rFonts w:ascii="Times New Roman" w:cs="Times New Roman" w:eastAsia="Times New Roman" w:hAnsi="Times New Roman"/>
          <w:sz w:val="14"/>
          <w:szCs w:val="14"/>
          <w:color w:val="auto"/>
        </w:rPr>
      </w:pPr>
    </w:p>
    <w:p>
      <w:pPr>
        <w:ind w:left="560" w:hanging="552"/>
        <w:spacing w:after="0"/>
        <w:tabs>
          <w:tab w:leader="none" w:pos="5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bonus targets established by the Board of Directors for 2023.</w:t>
      </w:r>
    </w:p>
    <w:p>
      <w:pPr>
        <w:spacing w:after="0" w:line="41" w:lineRule="exact"/>
        <w:rPr>
          <w:rFonts w:ascii="Times New Roman" w:cs="Times New Roman" w:eastAsia="Times New Roman" w:hAnsi="Times New Roman"/>
          <w:sz w:val="14"/>
          <w:szCs w:val="14"/>
          <w:color w:val="auto"/>
        </w:rPr>
      </w:pPr>
    </w:p>
    <w:p>
      <w:pPr>
        <w:ind w:left="560" w:hanging="552"/>
        <w:spacing w:after="0"/>
        <w:tabs>
          <w:tab w:leader="none" w:pos="5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Accrued compensation is comprised of vacation pay earned and unpaid as of December 31, 2023.</w:t>
      </w:r>
    </w:p>
    <w:p>
      <w:pPr>
        <w:spacing w:after="0" w:line="28" w:lineRule="exact"/>
        <w:rPr>
          <w:rFonts w:ascii="Times New Roman" w:cs="Times New Roman" w:eastAsia="Times New Roman" w:hAnsi="Times New Roman"/>
          <w:sz w:val="14"/>
          <w:szCs w:val="14"/>
          <w:color w:val="auto"/>
        </w:rPr>
      </w:pPr>
    </w:p>
    <w:p>
      <w:pPr>
        <w:ind w:left="580" w:right="440" w:hanging="572"/>
        <w:spacing w:after="0" w:line="261" w:lineRule="auto"/>
        <w:tabs>
          <w:tab w:leader="none" w:pos="57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represent the intrinsic value of ‘in-the money’ unvested options and RSUs as of December 31, 2023 that would vest in accordance with the executive officers’ employment agreements. Values were derived using the closing price of the Company’s common stock on December 29, 2023 of $131.76.</w:t>
      </w:r>
    </w:p>
    <w:p>
      <w:pPr>
        <w:ind w:left="560" w:hanging="552"/>
        <w:spacing w:after="0"/>
        <w:tabs>
          <w:tab w:leader="none" w:pos="5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Medical is comprised primarily of health insurance premiums for the period specified in each executive officer’s employment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Potential Payment Upon Change-in-Control Table*</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Salary (1)</w:t>
            </w:r>
          </w:p>
        </w:tc>
        <w:tc>
          <w:tcPr>
            <w:tcW w:w="13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Bonus (2)</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Accrued</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Medical (5)</w:t>
            </w:r>
          </w:p>
        </w:tc>
        <w:tc>
          <w:tcPr>
            <w:tcW w:w="1240" w:type="dxa"/>
            <w:vAlign w:val="bottom"/>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Total (6)</w:t>
            </w:r>
          </w:p>
        </w:tc>
        <w:tc>
          <w:tcPr>
            <w:tcW w:w="0" w:type="dxa"/>
            <w:vAlign w:val="bottom"/>
          </w:tcPr>
          <w:p>
            <w:pPr>
              <w:spacing w:after="0"/>
              <w:rPr>
                <w:sz w:val="1"/>
                <w:szCs w:val="1"/>
                <w:color w:val="auto"/>
              </w:rPr>
            </w:pPr>
          </w:p>
        </w:tc>
      </w:tr>
      <w:tr>
        <w:trPr>
          <w:trHeight w:val="196"/>
        </w:trPr>
        <w:tc>
          <w:tcPr>
            <w:tcW w:w="3020" w:type="dxa"/>
            <w:vAlign w:val="bottom"/>
            <w:gridSpan w:val="2"/>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 (3)</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Awards (4)</w:t>
            </w:r>
          </w:p>
        </w:tc>
        <w:tc>
          <w:tcPr>
            <w:tcW w:w="1340" w:type="dxa"/>
            <w:vAlign w:val="bottom"/>
            <w:gridSpan w:val="2"/>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Kevin C. Gorman, Ph.D.</w:t>
            </w: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$1,892,000</w:t>
            </w: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$1,892,000</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$136,443</w:t>
            </w: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$24,462,209</w:t>
            </w: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$88,488</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$28,471,140</w:t>
            </w:r>
          </w:p>
        </w:tc>
        <w:tc>
          <w:tcPr>
            <w:tcW w:w="0" w:type="dxa"/>
            <w:vAlign w:val="bottom"/>
          </w:tcPr>
          <w:p>
            <w:pPr>
              <w:spacing w:after="0"/>
              <w:rPr>
                <w:sz w:val="1"/>
                <w:szCs w:val="1"/>
                <w:color w:val="auto"/>
              </w:rPr>
            </w:pPr>
          </w:p>
        </w:tc>
      </w:tr>
      <w:tr>
        <w:trPr>
          <w:trHeight w:val="213"/>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Matthew C. Abernethy</w:t>
            </w: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$969,092</w:t>
            </w:r>
          </w:p>
        </w:tc>
        <w:tc>
          <w:tcPr>
            <w:tcW w:w="8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$484,546</w:t>
            </w:r>
          </w:p>
        </w:tc>
        <w:tc>
          <w:tcPr>
            <w:tcW w:w="80" w:type="dxa"/>
            <w:vAlign w:val="bottom"/>
          </w:tcPr>
          <w:p>
            <w:pPr>
              <w:spacing w:after="0"/>
              <w:rPr>
                <w:sz w:val="18"/>
                <w:szCs w:val="18"/>
                <w:color w:val="auto"/>
              </w:rPr>
            </w:pPr>
          </w:p>
        </w:tc>
        <w:tc>
          <w:tcPr>
            <w:tcW w:w="1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$93,183</w:t>
            </w:r>
          </w:p>
        </w:tc>
        <w:tc>
          <w:tcPr>
            <w:tcW w:w="80" w:type="dxa"/>
            <w:vAlign w:val="bottom"/>
          </w:tcPr>
          <w:p>
            <w:pPr>
              <w:spacing w:after="0"/>
              <w:rPr>
                <w:sz w:val="18"/>
                <w:szCs w:val="18"/>
                <w:color w:val="auto"/>
              </w:rPr>
            </w:pP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$8,501,775</w:t>
            </w:r>
          </w:p>
        </w:tc>
        <w:tc>
          <w:tcPr>
            <w:tcW w:w="8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$52,488</w:t>
            </w:r>
          </w:p>
        </w:tc>
        <w:tc>
          <w:tcPr>
            <w:tcW w:w="10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$10,101,084</w:t>
            </w:r>
          </w:p>
        </w:tc>
        <w:tc>
          <w:tcPr>
            <w:tcW w:w="0" w:type="dxa"/>
            <w:vAlign w:val="bottom"/>
          </w:tcPr>
          <w:p>
            <w:pPr>
              <w:spacing w:after="0"/>
              <w:rPr>
                <w:sz w:val="1"/>
                <w:szCs w:val="1"/>
                <w:color w:val="auto"/>
              </w:rPr>
            </w:pPr>
          </w:p>
        </w:tc>
      </w:tr>
      <w:tr>
        <w:trPr>
          <w:trHeight w:val="219"/>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Kyle W. Gano, Ph.D.</w:t>
            </w: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$904,368</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$452,184</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$86,958</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$9,160,926</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$49,734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$10,654,170</w:t>
            </w:r>
          </w:p>
        </w:tc>
        <w:tc>
          <w:tcPr>
            <w:tcW w:w="0" w:type="dxa"/>
            <w:vAlign w:val="bottom"/>
          </w:tcPr>
          <w:p>
            <w:pPr>
              <w:spacing w:after="0"/>
              <w:rPr>
                <w:sz w:val="1"/>
                <w:szCs w:val="1"/>
                <w:color w:val="auto"/>
              </w:rPr>
            </w:pPr>
          </w:p>
        </w:tc>
      </w:tr>
      <w:tr>
        <w:trPr>
          <w:trHeight w:val="213"/>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Jude Onyia, Ph.D.</w:t>
            </w: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$957,375</w:t>
            </w:r>
          </w:p>
        </w:tc>
        <w:tc>
          <w:tcPr>
            <w:tcW w:w="8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$478,688</w:t>
            </w:r>
          </w:p>
        </w:tc>
        <w:tc>
          <w:tcPr>
            <w:tcW w:w="80" w:type="dxa"/>
            <w:vAlign w:val="bottom"/>
          </w:tcPr>
          <w:p>
            <w:pPr>
              <w:spacing w:after="0"/>
              <w:rPr>
                <w:sz w:val="18"/>
                <w:szCs w:val="18"/>
                <w:color w:val="auto"/>
              </w:rPr>
            </w:pPr>
          </w:p>
        </w:tc>
        <w:tc>
          <w:tcPr>
            <w:tcW w:w="1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$76,713</w:t>
            </w:r>
          </w:p>
        </w:tc>
        <w:tc>
          <w:tcPr>
            <w:tcW w:w="80" w:type="dxa"/>
            <w:vAlign w:val="bottom"/>
          </w:tcPr>
          <w:p>
            <w:pPr>
              <w:spacing w:after="0"/>
              <w:rPr>
                <w:sz w:val="18"/>
                <w:szCs w:val="18"/>
                <w:color w:val="auto"/>
              </w:rPr>
            </w:pP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$10,389,185</w:t>
            </w:r>
          </w:p>
        </w:tc>
        <w:tc>
          <w:tcPr>
            <w:tcW w:w="8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$56,070</w:t>
            </w:r>
          </w:p>
        </w:tc>
        <w:tc>
          <w:tcPr>
            <w:tcW w:w="10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$11,958,031</w:t>
            </w:r>
          </w:p>
        </w:tc>
        <w:tc>
          <w:tcPr>
            <w:tcW w:w="0" w:type="dxa"/>
            <w:vAlign w:val="bottom"/>
          </w:tcPr>
          <w:p>
            <w:pPr>
              <w:spacing w:after="0"/>
              <w:rPr>
                <w:sz w:val="1"/>
                <w:szCs w:val="1"/>
                <w:color w:val="auto"/>
              </w:rPr>
            </w:pPr>
          </w:p>
        </w:tc>
      </w:tr>
      <w:tr>
        <w:trPr>
          <w:trHeight w:val="219"/>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Eiry W. Roberts, M.D.</w:t>
            </w: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$990,522</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$495,261</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$79,395</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$9,442,741</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$63,684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$11,071,603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Reflects benefits to be provided upon a termination without cause, or due to a constructive termination, within a specified time following a change-in-control.</w:t>
      </w:r>
    </w:p>
    <w:p>
      <w:pPr>
        <w:spacing w:after="0" w:line="42" w:lineRule="exact"/>
        <w:rPr>
          <w:sz w:val="20"/>
          <w:szCs w:val="20"/>
          <w:color w:val="auto"/>
        </w:rPr>
      </w:pPr>
    </w:p>
    <w:p>
      <w:pPr>
        <w:ind w:left="560" w:hanging="552"/>
        <w:spacing w:after="0"/>
        <w:tabs>
          <w:tab w:leader="none" w:pos="5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salary as of December 31, 2023.</w:t>
      </w:r>
    </w:p>
    <w:p>
      <w:pPr>
        <w:spacing w:after="0" w:line="28" w:lineRule="exact"/>
        <w:rPr>
          <w:rFonts w:ascii="Times New Roman" w:cs="Times New Roman" w:eastAsia="Times New Roman" w:hAnsi="Times New Roman"/>
          <w:sz w:val="14"/>
          <w:szCs w:val="14"/>
          <w:color w:val="auto"/>
        </w:rPr>
      </w:pPr>
    </w:p>
    <w:p>
      <w:pPr>
        <w:ind w:left="560" w:hanging="552"/>
        <w:spacing w:after="0"/>
        <w:tabs>
          <w:tab w:leader="none" w:pos="5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bonus targets established by the Board of Directors for 2023.</w:t>
      </w:r>
    </w:p>
    <w:p>
      <w:pPr>
        <w:spacing w:after="0" w:line="41" w:lineRule="exact"/>
        <w:rPr>
          <w:rFonts w:ascii="Times New Roman" w:cs="Times New Roman" w:eastAsia="Times New Roman" w:hAnsi="Times New Roman"/>
          <w:sz w:val="14"/>
          <w:szCs w:val="14"/>
          <w:color w:val="auto"/>
        </w:rPr>
      </w:pPr>
    </w:p>
    <w:p>
      <w:pPr>
        <w:ind w:left="560" w:hanging="552"/>
        <w:spacing w:after="0"/>
        <w:tabs>
          <w:tab w:leader="none" w:pos="5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Accrued compensation is comprised of vacation pay earned and unpaid as of December 31, 2023.</w:t>
      </w:r>
    </w:p>
    <w:p>
      <w:pPr>
        <w:spacing w:after="0" w:line="41" w:lineRule="exact"/>
        <w:rPr>
          <w:rFonts w:ascii="Times New Roman" w:cs="Times New Roman" w:eastAsia="Times New Roman" w:hAnsi="Times New Roman"/>
          <w:sz w:val="14"/>
          <w:szCs w:val="14"/>
          <w:color w:val="auto"/>
        </w:rPr>
      </w:pPr>
    </w:p>
    <w:p>
      <w:pPr>
        <w:ind w:left="580" w:right="240" w:hanging="572"/>
        <w:spacing w:after="0" w:line="234" w:lineRule="auto"/>
        <w:tabs>
          <w:tab w:leader="none" w:pos="572"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represent the intrinsic value of ‘in-the money’ unvested options, PRSUs, and RSUs as of December 31, 2023 that would vest in accordance with the executive officers’ employment agreements. Values were derived using the closing price of the Company’s common stock on December 29, 2023 of $131.76. See the discussion that follows these tables for a description of the applicable vesting provisions. Unvested PRSUs are presented assuming they are paid out at target.</w:t>
      </w:r>
    </w:p>
    <w:p>
      <w:pPr>
        <w:spacing w:after="0" w:line="1" w:lineRule="exact"/>
        <w:rPr>
          <w:rFonts w:ascii="Times New Roman" w:cs="Times New Roman" w:eastAsia="Times New Roman" w:hAnsi="Times New Roman"/>
          <w:sz w:val="14"/>
          <w:szCs w:val="14"/>
          <w:color w:val="auto"/>
        </w:rPr>
      </w:pPr>
    </w:p>
    <w:p>
      <w:pPr>
        <w:ind w:left="560" w:hanging="552"/>
        <w:spacing w:after="0"/>
        <w:tabs>
          <w:tab w:leader="none" w:pos="5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Medical is comprised primarily of health insurance premiums for the period specified in each executive officer’s employment contract.</w:t>
      </w:r>
    </w:p>
    <w:p>
      <w:pPr>
        <w:spacing w:after="0" w:line="41" w:lineRule="exact"/>
        <w:rPr>
          <w:rFonts w:ascii="Times New Roman" w:cs="Times New Roman" w:eastAsia="Times New Roman" w:hAnsi="Times New Roman"/>
          <w:sz w:val="14"/>
          <w:szCs w:val="14"/>
          <w:color w:val="auto"/>
        </w:rPr>
      </w:pPr>
    </w:p>
    <w:p>
      <w:pPr>
        <w:ind w:left="580" w:right="340" w:hanging="572"/>
        <w:spacing w:after="0" w:line="261" w:lineRule="auto"/>
        <w:tabs>
          <w:tab w:leader="none" w:pos="572"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totals shown here do not take into account the application of any “best-after-tax” provision that may apply if an executive officer’s payments would otherwise be subject to the excise tax provisions of Section 280G of the Internal Revenue Code.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Potential Payment Upon Termination by Disability Table*</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Salary (1)</w:t>
            </w:r>
          </w:p>
        </w:tc>
        <w:tc>
          <w:tcPr>
            <w:tcW w:w="13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Bonus (2)</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Accrued</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Medical (5)</w:t>
            </w:r>
          </w:p>
        </w:tc>
        <w:tc>
          <w:tcPr>
            <w:tcW w:w="1240" w:type="dxa"/>
            <w:vAlign w:val="bottom"/>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000" w:type="dxa"/>
            <w:vAlign w:val="bottom"/>
            <w:gridSpan w:val="2"/>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 (3)</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Awards (4)</w:t>
            </w:r>
          </w:p>
        </w:tc>
        <w:tc>
          <w:tcPr>
            <w:tcW w:w="1340" w:type="dxa"/>
            <w:vAlign w:val="bottom"/>
            <w:gridSpan w:val="2"/>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Kevin C. Gorman, Ph.D.</w:t>
            </w: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$1,182,500</w:t>
            </w: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$1,182,500</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$136,443</w:t>
            </w: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$8,801,736</w:t>
            </w: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$55,305</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$11,358,484</w:t>
            </w:r>
          </w:p>
        </w:tc>
        <w:tc>
          <w:tcPr>
            <w:tcW w:w="0" w:type="dxa"/>
            <w:vAlign w:val="bottom"/>
          </w:tcPr>
          <w:p>
            <w:pPr>
              <w:spacing w:after="0"/>
              <w:rPr>
                <w:sz w:val="1"/>
                <w:szCs w:val="1"/>
                <w:color w:val="auto"/>
              </w:rPr>
            </w:pPr>
          </w:p>
        </w:tc>
      </w:tr>
      <w:tr>
        <w:trPr>
          <w:trHeight w:val="213"/>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Matthew C. Abernethy</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$646,061</w:t>
            </w:r>
          </w:p>
        </w:tc>
        <w:tc>
          <w:tcPr>
            <w:tcW w:w="8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$323,031</w:t>
            </w:r>
          </w:p>
        </w:tc>
        <w:tc>
          <w:tcPr>
            <w:tcW w:w="80" w:type="dxa"/>
            <w:vAlign w:val="bottom"/>
          </w:tcPr>
          <w:p>
            <w:pPr>
              <w:spacing w:after="0"/>
              <w:rPr>
                <w:sz w:val="18"/>
                <w:szCs w:val="18"/>
                <w:color w:val="auto"/>
              </w:rPr>
            </w:pPr>
          </w:p>
        </w:tc>
        <w:tc>
          <w:tcPr>
            <w:tcW w:w="1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$93,183</w:t>
            </w:r>
          </w:p>
        </w:tc>
        <w:tc>
          <w:tcPr>
            <w:tcW w:w="80" w:type="dxa"/>
            <w:vAlign w:val="bottom"/>
          </w:tcPr>
          <w:p>
            <w:pPr>
              <w:spacing w:after="0"/>
              <w:rPr>
                <w:sz w:val="18"/>
                <w:szCs w:val="18"/>
                <w:color w:val="auto"/>
              </w:rPr>
            </w:pP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$2,796,723</w:t>
            </w:r>
          </w:p>
        </w:tc>
        <w:tc>
          <w:tcPr>
            <w:tcW w:w="8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$34,992</w:t>
            </w:r>
          </w:p>
        </w:tc>
        <w:tc>
          <w:tcPr>
            <w:tcW w:w="10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$3,893,990</w:t>
            </w:r>
          </w:p>
        </w:tc>
        <w:tc>
          <w:tcPr>
            <w:tcW w:w="0" w:type="dxa"/>
            <w:vAlign w:val="bottom"/>
          </w:tcPr>
          <w:p>
            <w:pPr>
              <w:spacing w:after="0"/>
              <w:rPr>
                <w:sz w:val="1"/>
                <w:szCs w:val="1"/>
                <w:color w:val="auto"/>
              </w:rPr>
            </w:pPr>
          </w:p>
        </w:tc>
      </w:tr>
      <w:tr>
        <w:trPr>
          <w:trHeight w:val="219"/>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Kyle W. Gano, Ph.D.</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$602,912</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$301,456</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$86,958</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$3,135,805</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$33,156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$4,160,287</w:t>
            </w:r>
          </w:p>
        </w:tc>
        <w:tc>
          <w:tcPr>
            <w:tcW w:w="0" w:type="dxa"/>
            <w:vAlign w:val="bottom"/>
          </w:tcPr>
          <w:p>
            <w:pPr>
              <w:spacing w:after="0"/>
              <w:rPr>
                <w:sz w:val="1"/>
                <w:szCs w:val="1"/>
                <w:color w:val="auto"/>
              </w:rPr>
            </w:pPr>
          </w:p>
        </w:tc>
      </w:tr>
      <w:tr>
        <w:trPr>
          <w:trHeight w:val="213"/>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Jude Onyia, Ph.D.</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$638,250</w:t>
            </w:r>
          </w:p>
        </w:tc>
        <w:tc>
          <w:tcPr>
            <w:tcW w:w="8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$319,125</w:t>
            </w:r>
          </w:p>
        </w:tc>
        <w:tc>
          <w:tcPr>
            <w:tcW w:w="80" w:type="dxa"/>
            <w:vAlign w:val="bottom"/>
          </w:tcPr>
          <w:p>
            <w:pPr>
              <w:spacing w:after="0"/>
              <w:rPr>
                <w:sz w:val="18"/>
                <w:szCs w:val="18"/>
                <w:color w:val="auto"/>
              </w:rPr>
            </w:pPr>
          </w:p>
        </w:tc>
        <w:tc>
          <w:tcPr>
            <w:tcW w:w="15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$76,713</w:t>
            </w:r>
          </w:p>
        </w:tc>
        <w:tc>
          <w:tcPr>
            <w:tcW w:w="80" w:type="dxa"/>
            <w:vAlign w:val="bottom"/>
          </w:tcPr>
          <w:p>
            <w:pPr>
              <w:spacing w:after="0"/>
              <w:rPr>
                <w:sz w:val="18"/>
                <w:szCs w:val="18"/>
                <w:color w:val="auto"/>
              </w:rPr>
            </w:pP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$2,947,024</w:t>
            </w:r>
          </w:p>
        </w:tc>
        <w:tc>
          <w:tcPr>
            <w:tcW w:w="8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$37,380</w:t>
            </w:r>
          </w:p>
        </w:tc>
        <w:tc>
          <w:tcPr>
            <w:tcW w:w="10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$4,018,492</w:t>
            </w:r>
          </w:p>
        </w:tc>
        <w:tc>
          <w:tcPr>
            <w:tcW w:w="0" w:type="dxa"/>
            <w:vAlign w:val="bottom"/>
          </w:tcPr>
          <w:p>
            <w:pPr>
              <w:spacing w:after="0"/>
              <w:rPr>
                <w:sz w:val="1"/>
                <w:szCs w:val="1"/>
                <w:color w:val="auto"/>
              </w:rPr>
            </w:pPr>
          </w:p>
        </w:tc>
      </w:tr>
      <w:tr>
        <w:trPr>
          <w:trHeight w:val="219"/>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Eiry W. Roberts, M.D.</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$660,348</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$330,174</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$79,395</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$2,771,321</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$42,456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$3,883,694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6"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Reflects a termination due to disability.</w:t>
      </w:r>
    </w:p>
    <w:p>
      <w:pPr>
        <w:spacing w:after="0" w:line="42" w:lineRule="exact"/>
        <w:rPr>
          <w:sz w:val="20"/>
          <w:szCs w:val="20"/>
          <w:color w:val="auto"/>
        </w:rPr>
      </w:pPr>
    </w:p>
    <w:p>
      <w:pPr>
        <w:ind w:left="560" w:hanging="552"/>
        <w:spacing w:after="0"/>
        <w:tabs>
          <w:tab w:leader="none" w:pos="5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salary as of December 31, 2023.</w:t>
      </w:r>
    </w:p>
    <w:p>
      <w:pPr>
        <w:spacing w:after="0" w:line="28" w:lineRule="exact"/>
        <w:rPr>
          <w:rFonts w:ascii="Times New Roman" w:cs="Times New Roman" w:eastAsia="Times New Roman" w:hAnsi="Times New Roman"/>
          <w:sz w:val="14"/>
          <w:szCs w:val="14"/>
          <w:color w:val="auto"/>
        </w:rPr>
      </w:pPr>
    </w:p>
    <w:p>
      <w:pPr>
        <w:ind w:left="560" w:hanging="552"/>
        <w:spacing w:after="0"/>
        <w:tabs>
          <w:tab w:leader="none" w:pos="5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bonus targets established by the Board of Directors for 2023.</w:t>
      </w:r>
    </w:p>
    <w:p>
      <w:pPr>
        <w:spacing w:after="0" w:line="41" w:lineRule="exact"/>
        <w:rPr>
          <w:rFonts w:ascii="Times New Roman" w:cs="Times New Roman" w:eastAsia="Times New Roman" w:hAnsi="Times New Roman"/>
          <w:sz w:val="14"/>
          <w:szCs w:val="14"/>
          <w:color w:val="auto"/>
        </w:rPr>
      </w:pPr>
    </w:p>
    <w:p>
      <w:pPr>
        <w:ind w:left="560" w:hanging="552"/>
        <w:spacing w:after="0"/>
        <w:tabs>
          <w:tab w:leader="none" w:pos="5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Accrued compensation is comprised of vacation pay earned and unpaid as of December 31, 2023.</w:t>
      </w:r>
    </w:p>
    <w:p>
      <w:pPr>
        <w:spacing w:after="0" w:line="41" w:lineRule="exact"/>
        <w:rPr>
          <w:rFonts w:ascii="Times New Roman" w:cs="Times New Roman" w:eastAsia="Times New Roman" w:hAnsi="Times New Roman"/>
          <w:sz w:val="14"/>
          <w:szCs w:val="14"/>
          <w:color w:val="auto"/>
        </w:rPr>
      </w:pPr>
    </w:p>
    <w:p>
      <w:pPr>
        <w:ind w:left="580" w:right="420" w:hanging="572"/>
        <w:spacing w:after="0" w:line="241" w:lineRule="auto"/>
        <w:tabs>
          <w:tab w:leader="none" w:pos="572"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represent the intrinsic value of ‘in-the money’ unvested options and RSUs as of December 31, 2023 that would vest in accordance with the executive officers’ employment agreements. Values were derived using the closing price of the Company’s common stock on December 29, 2023 of $131.76.</w:t>
      </w:r>
    </w:p>
    <w:p>
      <w:pPr>
        <w:spacing w:after="0" w:line="14" w:lineRule="exact"/>
        <w:rPr>
          <w:rFonts w:ascii="Times New Roman" w:cs="Times New Roman" w:eastAsia="Times New Roman" w:hAnsi="Times New Roman"/>
          <w:sz w:val="14"/>
          <w:szCs w:val="14"/>
          <w:color w:val="auto"/>
        </w:rPr>
      </w:pPr>
    </w:p>
    <w:p>
      <w:pPr>
        <w:ind w:left="560" w:hanging="552"/>
        <w:spacing w:after="0"/>
        <w:tabs>
          <w:tab w:leader="none" w:pos="5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Medical is comprised primarily of health insurance premiums for the period specified in each executive officer’s employment contract.</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Potential Payment Upon Termination by Death Table*</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Bonus (1)</w:t>
            </w:r>
          </w:p>
        </w:tc>
        <w:tc>
          <w:tcPr>
            <w:tcW w:w="16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Accrued</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4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64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Compensation (2)</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Awards (3)</w:t>
            </w: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Kevin C. Gorman, Ph.D.</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$946,000</w:t>
            </w:r>
          </w:p>
        </w:tc>
        <w:tc>
          <w:tcPr>
            <w:tcW w:w="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$136,443</w:t>
            </w: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$8,801,736</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$9,884,179</w:t>
            </w:r>
          </w:p>
        </w:tc>
        <w:tc>
          <w:tcPr>
            <w:tcW w:w="0" w:type="dxa"/>
            <w:vAlign w:val="bottom"/>
          </w:tcPr>
          <w:p>
            <w:pPr>
              <w:spacing w:after="0"/>
              <w:rPr>
                <w:sz w:val="1"/>
                <w:szCs w:val="1"/>
                <w:color w:val="auto"/>
              </w:rPr>
            </w:pPr>
          </w:p>
        </w:tc>
      </w:tr>
      <w:tr>
        <w:trPr>
          <w:trHeight w:val="21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Matthew C. Abernethy</w:t>
            </w: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$323,031</w:t>
            </w:r>
          </w:p>
        </w:tc>
        <w:tc>
          <w:tcPr>
            <w:tcW w:w="80" w:type="dxa"/>
            <w:vAlign w:val="bottom"/>
          </w:tcPr>
          <w:p>
            <w:pPr>
              <w:spacing w:after="0"/>
              <w:rPr>
                <w:sz w:val="18"/>
                <w:szCs w:val="18"/>
                <w:color w:val="auto"/>
              </w:rPr>
            </w:pPr>
          </w:p>
        </w:tc>
        <w:tc>
          <w:tcPr>
            <w:tcW w:w="15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$93,183</w:t>
            </w:r>
          </w:p>
        </w:tc>
        <w:tc>
          <w:tcPr>
            <w:tcW w:w="80" w:type="dxa"/>
            <w:vAlign w:val="bottom"/>
          </w:tcPr>
          <w:p>
            <w:pPr>
              <w:spacing w:after="0"/>
              <w:rPr>
                <w:sz w:val="18"/>
                <w:szCs w:val="18"/>
                <w:color w:val="auto"/>
              </w:rPr>
            </w:pP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$2,796,723</w:t>
            </w:r>
          </w:p>
        </w:tc>
        <w:tc>
          <w:tcPr>
            <w:tcW w:w="10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$3,212,937</w:t>
            </w:r>
          </w:p>
        </w:tc>
        <w:tc>
          <w:tcPr>
            <w:tcW w:w="0" w:type="dxa"/>
            <w:vAlign w:val="bottom"/>
          </w:tcPr>
          <w:p>
            <w:pPr>
              <w:spacing w:after="0"/>
              <w:rPr>
                <w:sz w:val="1"/>
                <w:szCs w:val="1"/>
                <w:color w:val="auto"/>
              </w:rPr>
            </w:pPr>
          </w:p>
        </w:tc>
      </w:tr>
      <w:tr>
        <w:trPr>
          <w:trHeight w:val="219"/>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Kyle W. Gano, Ph.D.</w:t>
            </w: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$301,456</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$86,958</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$3,135,805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$3,524,219</w:t>
            </w:r>
          </w:p>
        </w:tc>
        <w:tc>
          <w:tcPr>
            <w:tcW w:w="0" w:type="dxa"/>
            <w:vAlign w:val="bottom"/>
          </w:tcPr>
          <w:p>
            <w:pPr>
              <w:spacing w:after="0"/>
              <w:rPr>
                <w:sz w:val="1"/>
                <w:szCs w:val="1"/>
                <w:color w:val="auto"/>
              </w:rPr>
            </w:pPr>
          </w:p>
        </w:tc>
      </w:tr>
      <w:tr>
        <w:trPr>
          <w:trHeight w:val="21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Jude Onyia, Ph.D.</w:t>
            </w: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$319,125</w:t>
            </w:r>
          </w:p>
        </w:tc>
        <w:tc>
          <w:tcPr>
            <w:tcW w:w="80" w:type="dxa"/>
            <w:vAlign w:val="bottom"/>
          </w:tcPr>
          <w:p>
            <w:pPr>
              <w:spacing w:after="0"/>
              <w:rPr>
                <w:sz w:val="18"/>
                <w:szCs w:val="18"/>
                <w:color w:val="auto"/>
              </w:rPr>
            </w:pPr>
          </w:p>
        </w:tc>
        <w:tc>
          <w:tcPr>
            <w:tcW w:w="15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$76,713</w:t>
            </w:r>
          </w:p>
        </w:tc>
        <w:tc>
          <w:tcPr>
            <w:tcW w:w="80" w:type="dxa"/>
            <w:vAlign w:val="bottom"/>
          </w:tcPr>
          <w:p>
            <w:pPr>
              <w:spacing w:after="0"/>
              <w:rPr>
                <w:sz w:val="18"/>
                <w:szCs w:val="18"/>
                <w:color w:val="auto"/>
              </w:rPr>
            </w:pP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$2,947,024</w:t>
            </w:r>
          </w:p>
        </w:tc>
        <w:tc>
          <w:tcPr>
            <w:tcW w:w="10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$3,342,862</w:t>
            </w:r>
          </w:p>
        </w:tc>
        <w:tc>
          <w:tcPr>
            <w:tcW w:w="0" w:type="dxa"/>
            <w:vAlign w:val="bottom"/>
          </w:tcPr>
          <w:p>
            <w:pPr>
              <w:spacing w:after="0"/>
              <w:rPr>
                <w:sz w:val="1"/>
                <w:szCs w:val="1"/>
                <w:color w:val="auto"/>
              </w:rPr>
            </w:pPr>
          </w:p>
        </w:tc>
      </w:tr>
      <w:tr>
        <w:trPr>
          <w:trHeight w:val="219"/>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Eiry W. Roberts, M.D.</w:t>
            </w: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$330,174</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$79,395</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$2,771,321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$3,180,890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6"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Reflects a termination due to death.</w:t>
      </w:r>
    </w:p>
    <w:p>
      <w:pPr>
        <w:spacing w:after="0" w:line="42" w:lineRule="exact"/>
        <w:rPr>
          <w:sz w:val="20"/>
          <w:szCs w:val="20"/>
          <w:color w:val="auto"/>
        </w:rPr>
      </w:pPr>
    </w:p>
    <w:p>
      <w:pPr>
        <w:ind w:left="560" w:hanging="552"/>
        <w:spacing w:after="0"/>
        <w:tabs>
          <w:tab w:leader="none" w:pos="5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bonus targets established by the Board of Directors for 2023.</w:t>
      </w:r>
    </w:p>
    <w:p>
      <w:pPr>
        <w:spacing w:after="0" w:line="41" w:lineRule="exact"/>
        <w:rPr>
          <w:rFonts w:ascii="Times New Roman" w:cs="Times New Roman" w:eastAsia="Times New Roman" w:hAnsi="Times New Roman"/>
          <w:sz w:val="14"/>
          <w:szCs w:val="14"/>
          <w:color w:val="auto"/>
        </w:rPr>
      </w:pPr>
    </w:p>
    <w:p>
      <w:pPr>
        <w:ind w:left="560" w:hanging="552"/>
        <w:spacing w:after="0"/>
        <w:tabs>
          <w:tab w:leader="none" w:pos="5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Accrued compensation is comprised of vacation pay earned and unpaid as of December 31, 2023.</w:t>
      </w:r>
    </w:p>
    <w:p>
      <w:pPr>
        <w:spacing w:after="0" w:line="28" w:lineRule="exact"/>
        <w:rPr>
          <w:rFonts w:ascii="Times New Roman" w:cs="Times New Roman" w:eastAsia="Times New Roman" w:hAnsi="Times New Roman"/>
          <w:sz w:val="14"/>
          <w:szCs w:val="14"/>
          <w:color w:val="auto"/>
        </w:rPr>
      </w:pPr>
    </w:p>
    <w:p>
      <w:pPr>
        <w:ind w:left="580" w:right="420" w:hanging="572"/>
        <w:spacing w:after="0" w:line="261" w:lineRule="auto"/>
        <w:tabs>
          <w:tab w:leader="none" w:pos="572"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represent the intrinsic value of ‘in-the money’ unvested options and RSUs as of December 31, 2023 that would vest in accordance with the executive officers’ employment agreements. Values were derived using the closing price of the Company’s common stock on December 29, 2023 of $131.76.</w:t>
      </w:r>
    </w:p>
    <w:p>
      <w:pPr>
        <w:sectPr>
          <w:pgSz w:w="11900" w:h="16838" w:orient="portrait"/>
          <w:cols w:equalWidth="0" w:num="1">
            <w:col w:w="11220"/>
          </w:cols>
          <w:pgMar w:left="320" w:top="11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description of the arrangements under which the NEOs may be entitled to potential payments upon a termination without cause</w:t>
      </w:r>
    </w:p>
    <w:p>
      <w:pPr>
        <w:spacing w:after="0" w:line="2" w:lineRule="exact"/>
        <w:rPr>
          <w:sz w:val="20"/>
          <w:szCs w:val="20"/>
          <w:color w:val="auto"/>
        </w:rPr>
      </w:pPr>
    </w:p>
    <w:p>
      <w:pPr>
        <w:jc w:val="both"/>
        <w:ind w:right="480"/>
        <w:spacing w:after="0" w:line="218" w:lineRule="auto"/>
        <w:rPr>
          <w:sz w:val="20"/>
          <w:szCs w:val="20"/>
          <w:color w:val="auto"/>
        </w:rPr>
      </w:pPr>
      <w:r>
        <w:rPr>
          <w:rFonts w:ascii="Times New Roman" w:cs="Times New Roman" w:eastAsia="Times New Roman" w:hAnsi="Times New Roman"/>
          <w:sz w:val="18"/>
          <w:szCs w:val="18"/>
          <w:color w:val="auto"/>
        </w:rPr>
        <w:t>or resignation due to a constructive termination (including following a change-in-control) or upon disability or death. Resignation due to constructive termination may include an executive’s resignation following one or more of the following material adverse changes in the nature of such executive’s employment, as specified in the agreement, which is not cured following notification:</w:t>
      </w:r>
    </w:p>
    <w:p>
      <w:pPr>
        <w:spacing w:after="0" w:line="172" w:lineRule="exact"/>
        <w:rPr>
          <w:sz w:val="20"/>
          <w:szCs w:val="20"/>
          <w:color w:val="auto"/>
        </w:rPr>
      </w:pPr>
    </w:p>
    <w:p>
      <w:pPr>
        <w:ind w:left="1020" w:hanging="234"/>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reduction in the executive or the executive supervisor’s duties or responsibilities,</w:t>
      </w:r>
    </w:p>
    <w:p>
      <w:pPr>
        <w:spacing w:after="0" w:line="27" w:lineRule="exact"/>
        <w:rPr>
          <w:rFonts w:ascii="Times New Roman" w:cs="Times New Roman" w:eastAsia="Times New Roman" w:hAnsi="Times New Roman"/>
          <w:sz w:val="18"/>
          <w:szCs w:val="18"/>
          <w:color w:val="auto"/>
        </w:rPr>
      </w:pPr>
    </w:p>
    <w:p>
      <w:pPr>
        <w:ind w:left="1020" w:hanging="234"/>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base salary,</w:t>
      </w:r>
    </w:p>
    <w:p>
      <w:pPr>
        <w:spacing w:after="0" w:line="22" w:lineRule="exact"/>
        <w:rPr>
          <w:rFonts w:ascii="Times New Roman" w:cs="Times New Roman" w:eastAsia="Times New Roman" w:hAnsi="Times New Roman"/>
          <w:sz w:val="18"/>
          <w:szCs w:val="18"/>
          <w:color w:val="auto"/>
        </w:rPr>
      </w:pPr>
    </w:p>
    <w:p>
      <w:pPr>
        <w:ind w:left="1020" w:hanging="234"/>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relocation, or</w:t>
      </w:r>
    </w:p>
    <w:p>
      <w:pPr>
        <w:spacing w:after="0" w:line="31" w:lineRule="exact"/>
        <w:rPr>
          <w:rFonts w:ascii="Times New Roman" w:cs="Times New Roman" w:eastAsia="Times New Roman" w:hAnsi="Times New Roman"/>
          <w:sz w:val="18"/>
          <w:szCs w:val="18"/>
          <w:color w:val="auto"/>
        </w:rPr>
      </w:pPr>
    </w:p>
    <w:p>
      <w:pPr>
        <w:ind w:left="1020" w:hanging="234"/>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breach of the executive’s employment agreement.</w:t>
      </w:r>
    </w:p>
    <w:p>
      <w:pPr>
        <w:spacing w:after="0" w:line="17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Dr. Gorman </w:t>
      </w:r>
      <w:r>
        <w:rPr>
          <w:rFonts w:ascii="Times New Roman" w:cs="Times New Roman" w:eastAsia="Times New Roman" w:hAnsi="Times New Roman"/>
          <w:sz w:val="18"/>
          <w:szCs w:val="18"/>
          <w:color w:val="auto"/>
        </w:rPr>
        <w:t>is entitled to 1.25 times the amount of his annual base salary and target annual bonus to be paid equally over 15 months, an</w:t>
      </w:r>
    </w:p>
    <w:p>
      <w:pPr>
        <w:jc w:val="center"/>
        <w:ind w:right="300"/>
        <w:spacing w:after="0" w:line="219" w:lineRule="auto"/>
        <w:rPr>
          <w:sz w:val="20"/>
          <w:szCs w:val="20"/>
          <w:color w:val="auto"/>
        </w:rPr>
      </w:pPr>
      <w:r>
        <w:rPr>
          <w:rFonts w:ascii="Times New Roman" w:cs="Times New Roman" w:eastAsia="Times New Roman" w:hAnsi="Times New Roman"/>
          <w:sz w:val="18"/>
          <w:szCs w:val="18"/>
          <w:color w:val="auto"/>
        </w:rPr>
        <w:t>acceleration of unvested shares that would have vested over the 15 continuous months after the date of termination, and payment of COBRA benefits to</w:t>
      </w:r>
    </w:p>
    <w:p>
      <w:pPr>
        <w:jc w:val="both"/>
        <w:ind w:right="20"/>
        <w:spacing w:after="0" w:line="220" w:lineRule="auto"/>
        <w:rPr>
          <w:sz w:val="20"/>
          <w:szCs w:val="20"/>
          <w:color w:val="auto"/>
        </w:rPr>
      </w:pPr>
      <w:r>
        <w:rPr>
          <w:rFonts w:ascii="Times New Roman" w:cs="Times New Roman" w:eastAsia="Times New Roman" w:hAnsi="Times New Roman"/>
          <w:sz w:val="17"/>
          <w:szCs w:val="17"/>
          <w:color w:val="auto"/>
        </w:rPr>
        <w:t>continue then-current coverage for a period of 15 months following termination in the event that the Company terminates his employment without cause, or he resigns due to a constructive termination. In the event of such termination within six months after the consummation of a change in control, Dr. Gorman is entitled to 2 times the amount of his annual base salary and annual target bonus to be paid in one lump sum, a cash amount equal to the value of all</w:t>
      </w:r>
    </w:p>
    <w:p>
      <w:pPr>
        <w:spacing w:after="0" w:line="2" w:lineRule="exact"/>
        <w:rPr>
          <w:sz w:val="20"/>
          <w:szCs w:val="20"/>
          <w:color w:val="auto"/>
        </w:rPr>
      </w:pPr>
    </w:p>
    <w:p>
      <w:pPr>
        <w:ind w:right="100"/>
        <w:spacing w:after="0" w:line="207" w:lineRule="auto"/>
        <w:rPr>
          <w:sz w:val="20"/>
          <w:szCs w:val="20"/>
          <w:color w:val="auto"/>
        </w:rPr>
      </w:pPr>
      <w:r>
        <w:rPr>
          <w:rFonts w:ascii="Times New Roman" w:cs="Times New Roman" w:eastAsia="Times New Roman" w:hAnsi="Times New Roman"/>
          <w:sz w:val="18"/>
          <w:szCs w:val="18"/>
          <w:color w:val="auto"/>
        </w:rPr>
        <w:t>unvested stock awards and all vested and outstanding stock awards, and payment of COBRA benefits to continue then-current coverage for a period of 24 months following termination. In addition, the Company has agreed to reimburse Dr. Gorman for the increase in federal and state income taxes payable by him by reason of the benefits provided in connection with such a termination in connection with a change in control if the total payment exceeds 2.99 times his base amount by more than 15%. In the event of termination due to disability, Dr. Gorman is entitled to 15 months of base salary paid semi-</w:t>
      </w:r>
    </w:p>
    <w:p>
      <w:pPr>
        <w:spacing w:after="0" w:line="1" w:lineRule="exact"/>
        <w:rPr>
          <w:sz w:val="20"/>
          <w:szCs w:val="20"/>
          <w:color w:val="auto"/>
        </w:rPr>
      </w:pPr>
    </w:p>
    <w:p>
      <w:pPr>
        <w:ind w:right="80"/>
        <w:spacing w:after="0" w:line="215" w:lineRule="auto"/>
        <w:rPr>
          <w:sz w:val="20"/>
          <w:szCs w:val="20"/>
          <w:color w:val="auto"/>
        </w:rPr>
      </w:pPr>
      <w:r>
        <w:rPr>
          <w:rFonts w:ascii="Times New Roman" w:cs="Times New Roman" w:eastAsia="Times New Roman" w:hAnsi="Times New Roman"/>
          <w:sz w:val="17"/>
          <w:szCs w:val="17"/>
          <w:color w:val="auto"/>
        </w:rPr>
        <w:t>monthly over 15 months, a lump sum amount equal to his target annual bonus multiplied by a fraction the numerator of which is the number of full months of employment by Dr. Gorman in the fiscal year and the denominator of which is 12, an acceleration of unvested shares that would have vested over the</w:t>
      </w:r>
    </w:p>
    <w:p>
      <w:pPr>
        <w:spacing w:after="0" w:line="220" w:lineRule="auto"/>
        <w:rPr>
          <w:sz w:val="20"/>
          <w:szCs w:val="20"/>
          <w:color w:val="auto"/>
        </w:rPr>
      </w:pPr>
      <w:r>
        <w:rPr>
          <w:rFonts w:ascii="Times New Roman" w:cs="Times New Roman" w:eastAsia="Times New Roman" w:hAnsi="Times New Roman"/>
          <w:sz w:val="18"/>
          <w:szCs w:val="18"/>
          <w:color w:val="auto"/>
        </w:rPr>
        <w:t>15 continuous months after the date of termination, and payment of COBRA benefits to continue then-current coverage for a period of 15 months following</w:t>
      </w:r>
    </w:p>
    <w:p>
      <w:pPr>
        <w:ind w:right="60"/>
        <w:spacing w:after="0" w:line="208" w:lineRule="auto"/>
        <w:rPr>
          <w:sz w:val="20"/>
          <w:szCs w:val="20"/>
          <w:color w:val="auto"/>
        </w:rPr>
      </w:pPr>
      <w:r>
        <w:rPr>
          <w:rFonts w:ascii="Times New Roman" w:cs="Times New Roman" w:eastAsia="Times New Roman" w:hAnsi="Times New Roman"/>
          <w:sz w:val="18"/>
          <w:szCs w:val="18"/>
          <w:color w:val="auto"/>
        </w:rPr>
        <w:t>termination. In the event of a termination due to Dr. Gorman’s death, his beneficiaries or estate, would be entitled to an acceleration of unvested shares that would have vested over the 15 continuous months after the date of termination, a lump sum amount equal to his target annual bonus multiplied by a fraction the numerator of which is the number of full months of employment by Dr. Gorman in the fiscal year and the denominator of which is 12 and 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and unpaid compensation on the date of termination.</w:t>
      </w:r>
    </w:p>
    <w:p>
      <w:pPr>
        <w:spacing w:after="0" w:line="15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Mr. Abernethy </w:t>
      </w:r>
      <w:r>
        <w:rPr>
          <w:rFonts w:ascii="Times New Roman" w:cs="Times New Roman" w:eastAsia="Times New Roman" w:hAnsi="Times New Roman"/>
          <w:sz w:val="18"/>
          <w:szCs w:val="18"/>
          <w:color w:val="auto"/>
        </w:rPr>
        <w:t>is entitled to 1.0 times the amount of his annual base salary and target annual bonus to be paid equally over 12 months, an</w:t>
      </w:r>
    </w:p>
    <w:p>
      <w:pPr>
        <w:jc w:val="center"/>
        <w:ind w:right="300"/>
        <w:spacing w:after="0" w:line="219" w:lineRule="auto"/>
        <w:rPr>
          <w:sz w:val="20"/>
          <w:szCs w:val="20"/>
          <w:color w:val="auto"/>
        </w:rPr>
      </w:pPr>
      <w:r>
        <w:rPr>
          <w:rFonts w:ascii="Times New Roman" w:cs="Times New Roman" w:eastAsia="Times New Roman" w:hAnsi="Times New Roman"/>
          <w:sz w:val="18"/>
          <w:szCs w:val="18"/>
          <w:color w:val="auto"/>
        </w:rPr>
        <w:t>acceleration of unvested shares that would have vested over the 12 continuous months after the date of termination, and payment of COBRA benefits to</w:t>
      </w:r>
    </w:p>
    <w:p>
      <w:pPr>
        <w:ind w:right="20"/>
        <w:spacing w:after="0" w:line="203" w:lineRule="auto"/>
        <w:rPr>
          <w:sz w:val="20"/>
          <w:szCs w:val="20"/>
          <w:color w:val="auto"/>
        </w:rPr>
      </w:pPr>
      <w:r>
        <w:rPr>
          <w:rFonts w:ascii="Times New Roman" w:cs="Times New Roman" w:eastAsia="Times New Roman" w:hAnsi="Times New Roman"/>
          <w:sz w:val="18"/>
          <w:szCs w:val="18"/>
          <w:color w:val="auto"/>
        </w:rPr>
        <w:t>continue then-current coverage for a period of 12 months following termination in the event that the Company terminates his employment without cause, or he resigns due to a constructive termination. In the event of such termination within six months after the consummation of a change in control,</w:t>
      </w:r>
    </w:p>
    <w:p>
      <w:pPr>
        <w:spacing w:after="0" w:line="220" w:lineRule="auto"/>
        <w:rPr>
          <w:sz w:val="20"/>
          <w:szCs w:val="20"/>
          <w:color w:val="auto"/>
        </w:rPr>
      </w:pPr>
      <w:r>
        <w:rPr>
          <w:rFonts w:ascii="Times New Roman" w:cs="Times New Roman" w:eastAsia="Times New Roman" w:hAnsi="Times New Roman"/>
          <w:sz w:val="18"/>
          <w:szCs w:val="18"/>
          <w:color w:val="auto"/>
        </w:rPr>
        <w:t>Mr. Abernethy is entitled to 1.5 times the amount of his annual base salary and annual target bonus to be paid in one lump sum, a cash amount equal to the</w:t>
      </w:r>
    </w:p>
    <w:p>
      <w:pPr>
        <w:jc w:val="both"/>
        <w:ind w:right="180"/>
        <w:spacing w:after="0" w:line="220" w:lineRule="auto"/>
        <w:rPr>
          <w:sz w:val="20"/>
          <w:szCs w:val="20"/>
          <w:color w:val="auto"/>
        </w:rPr>
      </w:pPr>
      <w:r>
        <w:rPr>
          <w:rFonts w:ascii="Times New Roman" w:cs="Times New Roman" w:eastAsia="Times New Roman" w:hAnsi="Times New Roman"/>
          <w:sz w:val="17"/>
          <w:szCs w:val="17"/>
          <w:color w:val="auto"/>
        </w:rPr>
        <w:t>value of all unvested stock awards and all vested and outstanding stock awards, and payment of COBRA benefits to continue then-current coverage for a period of 18 months following termination; provided, however, in the event such payment to Mr. Abernethy after a change in control is subject to a “best-after-tax” provision. The best-after-tax provision provides that if the change in control payment due to Mr. Abernethy would be subject to the excise tax</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provisions of Section 280G of the Internal Revenue Code, the Company may reduce the change in control payments to Mr. Abernethy if, after all applicable taxes, the final payments would be larger than if the change in control payments were not reduced and therefor subject to an excise tax. In the event of termination due to disability, Mr. Abernethy is entitled to 12 months of base salary paid semi-monthly over 12 months, a lump sum amount equal to his</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target annual bonus multiplied by a fraction the numerator of which is the number of full months of employment by Mr. Abernethy in the fiscal year and the denominator of which is 12, an acceleration of unvested shares that would have vested over the 12 continuous months after the date of termination, and payment of COBRA benefits to continue then-current coverage for a period of 12 months following termination. In the event of a termination due to</w:t>
      </w:r>
    </w:p>
    <w:p>
      <w:pPr>
        <w:spacing w:after="0" w:line="2" w:lineRule="exact"/>
        <w:rPr>
          <w:sz w:val="20"/>
          <w:szCs w:val="20"/>
          <w:color w:val="auto"/>
        </w:rPr>
      </w:pPr>
    </w:p>
    <w:p>
      <w:pPr>
        <w:ind w:right="120"/>
        <w:spacing w:after="0" w:line="208" w:lineRule="auto"/>
        <w:rPr>
          <w:sz w:val="20"/>
          <w:szCs w:val="20"/>
          <w:color w:val="auto"/>
        </w:rPr>
      </w:pPr>
      <w:r>
        <w:rPr>
          <w:rFonts w:ascii="Times New Roman" w:cs="Times New Roman" w:eastAsia="Times New Roman" w:hAnsi="Times New Roman"/>
          <w:sz w:val="18"/>
          <w:szCs w:val="18"/>
          <w:color w:val="auto"/>
        </w:rPr>
        <w:t>Mr. Abernethy’s death, his beneficiaries or estate, would be entitled to an acceleration of unvested shares that would have vested over the 12 continuous months after the date of termination, a lump sum amount equal to his target annual bonus multiplied by a fraction the numerator of which is the number of full months of employment by Mr. Abernethy in the fiscal year and the denominator of which is 12 and any accrued and unpaid compensation on the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termination.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Dr. Gano </w:t>
      </w:r>
      <w:r>
        <w:rPr>
          <w:rFonts w:ascii="Times New Roman" w:cs="Times New Roman" w:eastAsia="Times New Roman" w:hAnsi="Times New Roman"/>
          <w:sz w:val="18"/>
          <w:szCs w:val="18"/>
          <w:color w:val="auto"/>
        </w:rPr>
        <w:t>is entitled to 1.0 times the amount of his annual base salary and target annual bonus to be paid equally over 12 months, an acceleration of</w:t>
      </w:r>
    </w:p>
    <w:p>
      <w:pPr>
        <w:spacing w:after="0" w:line="6" w:lineRule="exact"/>
        <w:rPr>
          <w:sz w:val="20"/>
          <w:szCs w:val="20"/>
          <w:color w:val="auto"/>
        </w:rPr>
      </w:pPr>
    </w:p>
    <w:p>
      <w:pPr>
        <w:ind w:right="100"/>
        <w:spacing w:after="0" w:line="220" w:lineRule="auto"/>
        <w:rPr>
          <w:sz w:val="20"/>
          <w:szCs w:val="20"/>
          <w:color w:val="auto"/>
        </w:rPr>
      </w:pPr>
      <w:r>
        <w:rPr>
          <w:rFonts w:ascii="Times New Roman" w:cs="Times New Roman" w:eastAsia="Times New Roman" w:hAnsi="Times New Roman"/>
          <w:sz w:val="17"/>
          <w:szCs w:val="17"/>
          <w:color w:val="auto"/>
        </w:rPr>
        <w:t>unvested shares that would have vested over the 12 continuous months after the date of termination, and payment of COBRA benefits to continue then-current coverage for a period of 12 months following termination in the event that the Company terminates his employment without cause, or he resigns due to a constructive termination. In the event of such termination within six months after the consummation of a change in control, Dr. Gano is entitled to</w:t>
      </w:r>
    </w:p>
    <w:p>
      <w:pPr>
        <w:spacing w:after="0" w:line="2" w:lineRule="exact"/>
        <w:rPr>
          <w:sz w:val="20"/>
          <w:szCs w:val="20"/>
          <w:color w:val="auto"/>
        </w:rPr>
      </w:pPr>
    </w:p>
    <w:p>
      <w:pPr>
        <w:ind w:right="180"/>
        <w:spacing w:after="0" w:line="208" w:lineRule="auto"/>
        <w:rPr>
          <w:sz w:val="20"/>
          <w:szCs w:val="20"/>
          <w:color w:val="auto"/>
        </w:rPr>
      </w:pPr>
      <w:r>
        <w:rPr>
          <w:rFonts w:ascii="Times New Roman" w:cs="Times New Roman" w:eastAsia="Times New Roman" w:hAnsi="Times New Roman"/>
          <w:sz w:val="18"/>
          <w:szCs w:val="18"/>
          <w:color w:val="auto"/>
        </w:rPr>
        <w:t>1.5 times the amount of his annual base salary and annual target bonus to be paid in one lump sum, a cash amount equal to the value of all unvested stock awards and all vested and outstanding stock awards, and payment of COBRA benefits to continue then-current coverage for a period of 18 months following termination; provided, however, in the event such payment to Dr. Gano after a change in control is subject to a “best-after-tax” provision. The</w:t>
      </w:r>
    </w:p>
    <w:p>
      <w:pPr>
        <w:spacing w:after="0" w:line="2"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best-after-tax provision provides that if the change in control payment due to Dr. Gano would be subject to the excise tax provisions of Section 280G of the Internal Revenue Code, the Company may reduce the change in control payments to Dr. Gano if, after all applicable taxes, the final payments would be larger than if the change in control payments were not reduced and therefor subject to an excise tax. In the event of termination due to disability, Dr. Gano</w:t>
      </w:r>
    </w:p>
    <w:p>
      <w:pPr>
        <w:spacing w:after="0" w:line="2"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is entitled to 12 months of base salary paid semi-monthly over 12 months, a lump sum amount equal to his target annual bonus multiplied by a fraction the numerator of which is the number of full months of employment by Dr. Gano in the fiscal year and the denominator of which is 12, an acceleration of unvested shares that would have vested over the 12 continuous months after the date of termination, and payment of COBRA benefits to continue then-</w:t>
      </w:r>
    </w:p>
    <w:p>
      <w:pPr>
        <w:spacing w:after="0" w:line="2" w:lineRule="exact"/>
        <w:rPr>
          <w:sz w:val="20"/>
          <w:szCs w:val="20"/>
          <w:color w:val="auto"/>
        </w:rPr>
      </w:pPr>
    </w:p>
    <w:p>
      <w:pPr>
        <w:ind w:right="80"/>
        <w:spacing w:after="0" w:line="214" w:lineRule="auto"/>
        <w:rPr>
          <w:sz w:val="20"/>
          <w:szCs w:val="20"/>
          <w:color w:val="auto"/>
        </w:rPr>
      </w:pPr>
      <w:r>
        <w:rPr>
          <w:rFonts w:ascii="Times New Roman" w:cs="Times New Roman" w:eastAsia="Times New Roman" w:hAnsi="Times New Roman"/>
          <w:sz w:val="18"/>
          <w:szCs w:val="18"/>
          <w:color w:val="auto"/>
        </w:rPr>
        <w:t>current coverage for a period of 12 months following termination. In the event of a termination due to Dr. Gano’s death, his beneficiaries or estate, would be entitled to an acceleration of unvested shares that would have vested over the 12 continuous months after the date of termination, a lump sum amount equal to his target annual bonus multiplied by a fraction the numerator of which is the number of full months of employment by Dr. Gano in the fiscal year and the denominator of which is 12 and any accrued and unpaid compensation on the date of termination.</w:t>
      </w:r>
    </w:p>
    <w:p>
      <w:pPr>
        <w:spacing w:after="0" w:line="169" w:lineRule="exact"/>
        <w:rPr>
          <w:sz w:val="20"/>
          <w:szCs w:val="20"/>
          <w:color w:val="auto"/>
        </w:rPr>
      </w:pPr>
    </w:p>
    <w:p>
      <w:pPr>
        <w:ind w:right="40" w:firstLine="551"/>
        <w:spacing w:after="0" w:line="21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Onyia </w:t>
      </w:r>
      <w:r>
        <w:rPr>
          <w:rFonts w:ascii="Times New Roman" w:cs="Times New Roman" w:eastAsia="Times New Roman" w:hAnsi="Times New Roman"/>
          <w:sz w:val="18"/>
          <w:szCs w:val="18"/>
          <w:color w:val="auto"/>
        </w:rPr>
        <w:t>is entitled to 1.0 times the amount of his annual base salary and target annual bonus to be paid equally over 12 months, an acceleration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unvested shares that would have vested over the 12 continuous months after the date of termination, and payment of COBRA benefits to continue then-current coverage for a period of 12 months following termination in the event that the Company terminates his employment without cause, or he resigns</w:t>
      </w:r>
    </w:p>
    <w:p>
      <w:pPr>
        <w:spacing w:after="0" w:line="3"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due to a constructive termination. In the event of such termination within six months after the consummation of a change in control, Dr. Onyia is entitled to 1.5 times the amount of his annual base salary and annual target bonus to be paid in one lump sum, a cash amount equal to the value of all unvested stock awards and all vested and outstanding stock awards, and payment of COBRA benefits to continue then-current coverage for a period of 18 months</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following termination; provided, however, in the event such payment to Dr. Onyia after a change in control is subject to a “best-after-tax” provision. The best-after-tax provision provides that if the change in control payment due to Dr. Onyia would be subject to the excise tax provisions of Section 280G of the Internal Revenue Code, the Company may reduce the change in control payments to Dr. Onyia if, after all applicable taxes, the final payments would be</w:t>
      </w:r>
    </w:p>
    <w:p>
      <w:pPr>
        <w:spacing w:after="0" w:line="2" w:lineRule="exact"/>
        <w:rPr>
          <w:sz w:val="20"/>
          <w:szCs w:val="20"/>
          <w:color w:val="auto"/>
        </w:rPr>
      </w:pPr>
    </w:p>
    <w:p>
      <w:pPr>
        <w:jc w:val="both"/>
        <w:ind w:right="100"/>
        <w:spacing w:after="0" w:line="220" w:lineRule="auto"/>
        <w:rPr>
          <w:sz w:val="20"/>
          <w:szCs w:val="20"/>
          <w:color w:val="auto"/>
        </w:rPr>
      </w:pPr>
      <w:r>
        <w:rPr>
          <w:rFonts w:ascii="Times New Roman" w:cs="Times New Roman" w:eastAsia="Times New Roman" w:hAnsi="Times New Roman"/>
          <w:sz w:val="17"/>
          <w:szCs w:val="17"/>
          <w:color w:val="auto"/>
        </w:rPr>
        <w:t>larger than if the change in control payments were not reduced and therefor subject to an excise tax. In the event of termination due to disability, Dr. Onyia is entitled to 12 months of base salary paid semi-monthly over 12 months, a lump sum amount equal to his target annual bonus multiplied by a fraction the numerator of which is the number of full months of employment by Dr. Onyia in the fiscal year and the denominator of which is 12, an acceleration of</w:t>
      </w:r>
    </w:p>
    <w:p>
      <w:pPr>
        <w:spacing w:after="0" w:line="2"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unvested shares that would have vested over the 12 continuous months after the date of termination, and payment of COBRA benefits to continue then-current coverage for a period of 12 months following termination. In the event of a termination due to Dr. Onyia’s death, his beneficiaries or estate, would be entitled to an acceleration of unvested shares that would have vested over the 12 continuous months after the date of termination, a lump sum amount</w:t>
      </w:r>
    </w:p>
    <w:p>
      <w:pPr>
        <w:spacing w:after="0" w:line="2"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equal to his target annual bonus multiplied by a fraction the numerator of which is the number of full months of employment by Dr. Onyia in the fiscal year and the denominator of which is 12 and any accrued and unpaid compensation on the date of termination.</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Dr. Roberts </w:t>
      </w:r>
      <w:r>
        <w:rPr>
          <w:rFonts w:ascii="Times New Roman" w:cs="Times New Roman" w:eastAsia="Times New Roman" w:hAnsi="Times New Roman"/>
          <w:sz w:val="18"/>
          <w:szCs w:val="18"/>
          <w:color w:val="auto"/>
        </w:rPr>
        <w:t>is entitled to 1.0 times the amount of her annual base salary and target annual bonus to be paid equally over 12 months, an acceleration</w:t>
      </w:r>
    </w:p>
    <w:p>
      <w:pPr>
        <w:spacing w:after="0" w:line="210" w:lineRule="auto"/>
        <w:rPr>
          <w:sz w:val="20"/>
          <w:szCs w:val="20"/>
          <w:color w:val="auto"/>
        </w:rPr>
      </w:pPr>
      <w:r>
        <w:rPr>
          <w:rFonts w:ascii="Times New Roman" w:cs="Times New Roman" w:eastAsia="Times New Roman" w:hAnsi="Times New Roman"/>
          <w:sz w:val="18"/>
          <w:szCs w:val="18"/>
          <w:color w:val="auto"/>
        </w:rPr>
        <w:t>of unvested shares that would have vested over the 12 continuous months after the date of termination, and payment of COBRA benefits to continue then-</w:t>
      </w:r>
    </w:p>
    <w:p>
      <w:pPr>
        <w:spacing w:after="0" w:line="203" w:lineRule="auto"/>
        <w:rPr>
          <w:sz w:val="20"/>
          <w:szCs w:val="20"/>
          <w:color w:val="auto"/>
        </w:rPr>
      </w:pPr>
      <w:r>
        <w:rPr>
          <w:rFonts w:ascii="Times New Roman" w:cs="Times New Roman" w:eastAsia="Times New Roman" w:hAnsi="Times New Roman"/>
          <w:sz w:val="18"/>
          <w:szCs w:val="18"/>
          <w:color w:val="auto"/>
        </w:rPr>
        <w:t>current coverage for a period of 12 months following termination in the event that the Company terminates her employment without cause, or she resigns</w:t>
      </w:r>
    </w:p>
    <w:p>
      <w:pPr>
        <w:spacing w:after="0" w:line="220" w:lineRule="auto"/>
        <w:rPr>
          <w:sz w:val="20"/>
          <w:szCs w:val="20"/>
          <w:color w:val="auto"/>
        </w:rPr>
      </w:pPr>
      <w:r>
        <w:rPr>
          <w:rFonts w:ascii="Times New Roman" w:cs="Times New Roman" w:eastAsia="Times New Roman" w:hAnsi="Times New Roman"/>
          <w:sz w:val="18"/>
          <w:szCs w:val="18"/>
          <w:color w:val="auto"/>
        </w:rPr>
        <w:t>due to a constructive termination. In the event of such termination within six months after the consummation of a change in control, Dr. Roberts is entitled</w:t>
      </w:r>
    </w:p>
    <w:p>
      <w:pPr>
        <w:ind w:right="120"/>
        <w:spacing w:after="0" w:line="220" w:lineRule="auto"/>
        <w:rPr>
          <w:sz w:val="20"/>
          <w:szCs w:val="20"/>
          <w:color w:val="auto"/>
        </w:rPr>
      </w:pPr>
      <w:r>
        <w:rPr>
          <w:rFonts w:ascii="Times New Roman" w:cs="Times New Roman" w:eastAsia="Times New Roman" w:hAnsi="Times New Roman"/>
          <w:sz w:val="17"/>
          <w:szCs w:val="17"/>
          <w:color w:val="auto"/>
        </w:rPr>
        <w:t>to 1.5 times the amount of her annual base salary and annual target bonus to be paid in one lump sum, a cash amount equal to the value of all unvested stock awards and all vested and outstanding stock awards, and payment of COBRA benefits to continue then-current coverage for a period of 18 months following termination; provided, however, in the event such payment to Dr. Roberts after a change in control is subject to a “best-after-tax” provision. The</w:t>
      </w:r>
    </w:p>
    <w:p>
      <w:pPr>
        <w:spacing w:after="0" w:line="2" w:lineRule="exact"/>
        <w:rPr>
          <w:sz w:val="20"/>
          <w:szCs w:val="20"/>
          <w:color w:val="auto"/>
        </w:rPr>
      </w:pPr>
    </w:p>
    <w:p>
      <w:pPr>
        <w:jc w:val="both"/>
        <w:ind w:right="100"/>
        <w:spacing w:after="0" w:line="208" w:lineRule="auto"/>
        <w:rPr>
          <w:sz w:val="20"/>
          <w:szCs w:val="20"/>
          <w:color w:val="auto"/>
        </w:rPr>
      </w:pPr>
      <w:r>
        <w:rPr>
          <w:rFonts w:ascii="Times New Roman" w:cs="Times New Roman" w:eastAsia="Times New Roman" w:hAnsi="Times New Roman"/>
          <w:sz w:val="18"/>
          <w:szCs w:val="18"/>
          <w:color w:val="auto"/>
        </w:rPr>
        <w:t>best-after-tax provision provides that if the change in control payment due to Dr. Roberts would be subject to the excise tax provisions of Section 280G of the Internal Revenue Code, the Company may reduce the change in control payments to Dr. Roberts if, after all applicable taxes, the final payments would be larger than if the change in control payments were not reduced and therefor subject to an excise tax. In the event of termination due to disability,</w:t>
      </w:r>
    </w:p>
    <w:p>
      <w:pPr>
        <w:spacing w:after="0" w:line="2"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Dr. Roberts is entitled to 12 months of base salary paid semi-monthly over 12 months, a lump sum amount equal to her target annual bonus multiplied by a fraction the numerator of which is the number of full months of employment by Dr. Roberts in the fiscal year and the denominator of which is 12, an acceleration of unvested shares that would have vested over the 12 continuous months after the date of termination, and payment of COBRA benefits to</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continue then-current coverage for a period of 12 months following termination. In the event of a termination due to Dr. Roberts’s death, her beneficiaries or estate, would be entitled to an acceleration of unvested shares that would have vested over the 12 continuous months after the date of termination, a lump sum amount equal to her target annual bonus multiplied by a fraction the numerator of which is the number of full months of employment by Dr. Roberts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fiscal year and the denominator of which is 12 and any accrued and unpaid compensation on the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202" w:lineRule="exact"/>
        <w:rPr>
          <w:sz w:val="20"/>
          <w:szCs w:val="20"/>
          <w:color w:val="auto"/>
        </w:rPr>
      </w:pPr>
    </w:p>
    <w:p>
      <w:pPr>
        <w:jc w:val="both"/>
        <w:ind w:firstLine="551"/>
        <w:spacing w:after="0" w:line="226" w:lineRule="auto"/>
        <w:rPr>
          <w:sz w:val="20"/>
          <w:szCs w:val="20"/>
          <w:color w:val="auto"/>
        </w:rPr>
      </w:pPr>
      <w:r>
        <w:rPr>
          <w:rFonts w:ascii="Times New Roman" w:cs="Times New Roman" w:eastAsia="Times New Roman" w:hAnsi="Times New Roman"/>
          <w:sz w:val="18"/>
          <w:szCs w:val="18"/>
          <w:color w:val="auto"/>
        </w:rPr>
        <w:t>Under SEC rules, we are required to calculate and disclose the annual total compensation of our median employee, as well as the ratio of the annual total compensation of our median employee as compared to the annual total compensation of our CEO, Kevin C. Gorman, Ph.D. (the “CEO Pay Ratio”). To identify our median employee, we used the following methodology:</w:t>
      </w:r>
    </w:p>
    <w:p>
      <w:pPr>
        <w:spacing w:after="0" w:line="72" w:lineRule="exact"/>
        <w:rPr>
          <w:sz w:val="20"/>
          <w:szCs w:val="20"/>
          <w:color w:val="auto"/>
        </w:rPr>
      </w:pPr>
    </w:p>
    <w:p>
      <w:pPr>
        <w:ind w:left="980" w:hanging="324"/>
        <w:spacing w:after="0"/>
        <w:tabs>
          <w:tab w:leader="none" w:pos="98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To determine our total population of employees, we included all full-time and part-time employees as of December 31, 2023.</w:t>
      </w:r>
    </w:p>
    <w:p>
      <w:pPr>
        <w:spacing w:after="0" w:line="35" w:lineRule="exact"/>
        <w:rPr>
          <w:rFonts w:ascii="Times New Roman" w:cs="Times New Roman" w:eastAsia="Times New Roman" w:hAnsi="Times New Roman"/>
          <w:sz w:val="22"/>
          <w:szCs w:val="22"/>
          <w:color w:val="auto"/>
        </w:rPr>
      </w:pPr>
    </w:p>
    <w:p>
      <w:pPr>
        <w:ind w:left="980" w:right="80" w:hanging="324"/>
        <w:spacing w:after="0" w:line="213" w:lineRule="auto"/>
        <w:tabs>
          <w:tab w:leader="none" w:pos="97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To identify our median employee from our employee population, we calculated the aggregate amount of each employee’s 2023 base salary (using a reasonable estimate of the hours worked and overtime actually paid during 2023 for hourly employees and actual salary paid for our remaining employees) and bonuses attributable to 2023 performance and the grant date fair value of equity awards granted in fiscal 2023 using the same methodology we use for estimating the value of the equity awards granted to our named executive officers and reported in our Summary Compensation Table.</w:t>
      </w:r>
    </w:p>
    <w:p>
      <w:pPr>
        <w:spacing w:after="0" w:line="26" w:lineRule="exact"/>
        <w:rPr>
          <w:rFonts w:ascii="Times New Roman" w:cs="Times New Roman" w:eastAsia="Times New Roman" w:hAnsi="Times New Roman"/>
          <w:sz w:val="22"/>
          <w:szCs w:val="22"/>
          <w:color w:val="auto"/>
        </w:rPr>
      </w:pPr>
    </w:p>
    <w:p>
      <w:pPr>
        <w:ind w:left="980" w:right="160" w:hanging="324"/>
        <w:spacing w:after="0" w:line="220" w:lineRule="auto"/>
        <w:tabs>
          <w:tab w:leader="none" w:pos="97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making this determination, we annualized the base salary and target bonus compensation of employees who were employed by us for less than the entire fiscal year.</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After identifying our median employee, we then calculated compensation for such median employee using the same methodology used to calculate</w:t>
      </w:r>
    </w:p>
    <w:p>
      <w:pPr>
        <w:spacing w:after="0" w:line="2" w:lineRule="exact"/>
        <w:rPr>
          <w:sz w:val="20"/>
          <w:szCs w:val="20"/>
          <w:color w:val="auto"/>
        </w:rPr>
      </w:pPr>
    </w:p>
    <w:p>
      <w:pPr>
        <w:ind w:right="180"/>
        <w:spacing w:after="0" w:line="220" w:lineRule="auto"/>
        <w:rPr>
          <w:sz w:val="20"/>
          <w:szCs w:val="20"/>
          <w:color w:val="auto"/>
        </w:rPr>
      </w:pPr>
      <w:r>
        <w:rPr>
          <w:rFonts w:ascii="Times New Roman" w:cs="Times New Roman" w:eastAsia="Times New Roman" w:hAnsi="Times New Roman"/>
          <w:sz w:val="17"/>
          <w:szCs w:val="17"/>
          <w:color w:val="auto"/>
        </w:rPr>
        <w:t>compensation for our NEOs as reported in the 2023 Summary Compensation Table. For 2023, the median of the annual total compensation of our employees (other than our CEO) was $269,081 and the annual total compensation of our CEO, as reported in the Summary Compensation Table included in this Proxy Statement, was $15,750,812. Based on this information, the ratio of the annual total compensation of our CEO to the median of the annual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compensation of all employees was approximately 58 to 1.</w:t>
      </w:r>
    </w:p>
    <w:p>
      <w:pPr>
        <w:spacing w:after="0" w:line="165" w:lineRule="exact"/>
        <w:rPr>
          <w:sz w:val="20"/>
          <w:szCs w:val="20"/>
          <w:color w:val="auto"/>
        </w:rPr>
      </w:pPr>
    </w:p>
    <w:p>
      <w:pPr>
        <w:ind w:right="80" w:firstLine="551"/>
        <w:spacing w:after="0" w:line="216" w:lineRule="auto"/>
        <w:rPr>
          <w:sz w:val="20"/>
          <w:szCs w:val="20"/>
          <w:color w:val="auto"/>
        </w:rPr>
      </w:pPr>
      <w:r>
        <w:rPr>
          <w:rFonts w:ascii="Times New Roman" w:cs="Times New Roman" w:eastAsia="Times New Roman" w:hAnsi="Times New Roman"/>
          <w:sz w:val="18"/>
          <w:szCs w:val="18"/>
          <w:color w:val="auto"/>
        </w:rPr>
        <w:t>The CEO Pay Ratio above represents our reasonable estimate calculated in a manner consistent with SEC rules and applicable guidance. SEC rules and guidance provide significant flexibility in how companies identify the median employee, and each company may use a different methodology and make different assumptions particular to that company. As a result, and as explained by the SEC when it adopted these rules, in considering the pay ratio</w:t>
      </w:r>
    </w:p>
    <w:p>
      <w:pPr>
        <w:spacing w:after="0" w:line="1"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18"/>
          <w:szCs w:val="18"/>
          <w:color w:val="auto"/>
        </w:rPr>
        <w:t>disclosure, stockholders should keep in mind that the rule was not designed to facilitate comparisons of pay ratios among different companies, even companies within the same industry, but rather to allow stockholders to better understand and assess each particular company’s compensation practices and pay ratio disclosures. Neither the Compensation Committee nor our management used our CEO Pay Ratio measure in making compensation decisions.</w:t>
      </w:r>
    </w:p>
    <w:p>
      <w:pPr>
        <w:spacing w:after="0" w:line="172" w:lineRule="exact"/>
        <w:rPr>
          <w:sz w:val="20"/>
          <w:szCs w:val="20"/>
          <w:color w:val="auto"/>
        </w:rPr>
      </w:pPr>
    </w:p>
    <w:p>
      <w:pPr>
        <w:ind w:firstLine="551"/>
        <w:spacing w:after="0" w:line="216" w:lineRule="auto"/>
        <w:rPr>
          <w:sz w:val="20"/>
          <w:szCs w:val="20"/>
          <w:color w:val="auto"/>
        </w:rPr>
      </w:pPr>
      <w:r>
        <w:rPr>
          <w:rFonts w:ascii="Times New Roman" w:cs="Times New Roman" w:eastAsia="Times New Roman" w:hAnsi="Times New Roman"/>
          <w:sz w:val="18"/>
          <w:szCs w:val="18"/>
          <w:color w:val="auto"/>
        </w:rPr>
        <w:t>In addition to the information above, in order to reflect our employee compensation practices, we have also calculated the annual base salary of our median employee while taking only annual base salary into account, as well as the ratio of the base salary of our CEO as compared to the annual base salary of such median employee. In calculating the annual base salary of our median employee, we used the applicable methodology listed above. For fiscal</w:t>
      </w:r>
    </w:p>
    <w:p>
      <w:pPr>
        <w:spacing w:after="0" w:line="1"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2023, the median of the annual base salary of our employees (other than our CEO) was $161,926, and the annual base salary of our CEO, as reported in the Summary Compensation Table included in this Proxy Statement, was $946,000. Based on this information, the ratio of the annual base salary of our CEO to the median of the annual base salary of all employees (other than the CEO) was approximately 6 to 1. Neither the Compensation Committee nor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used this ratio to make compensation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402(v) PAY VERSUS PERFORMANCE</w:t>
      </w:r>
    </w:p>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disclosure included in this section is prescribed by SEC rules and does not necessarily align with how the Company or the Compensation</w:t>
      </w:r>
    </w:p>
    <w:p>
      <w:pPr>
        <w:spacing w:after="0" w:line="2"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18"/>
          <w:szCs w:val="18"/>
          <w:color w:val="auto"/>
        </w:rPr>
        <w:t>Committee view the link between the Company’s performance and NEO pay and the Compensation Committee does not utilize CAP (as defined below) as the basis for making compensation decisions. For additional information about our pay-for-performance philosophy and how we align executive compensation with Company performance, refer to the Compensation Discussion and Analysis.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Tabular Disclosure of Pay Versus Performance</w:t>
      </w:r>
    </w:p>
    <w:p>
      <w:pPr>
        <w:spacing w:after="0" w:line="189" w:lineRule="exact"/>
        <w:rPr>
          <w:sz w:val="20"/>
          <w:szCs w:val="20"/>
          <w:color w:val="auto"/>
        </w:rPr>
      </w:pPr>
    </w:p>
    <w:p>
      <w:pPr>
        <w:ind w:right="20" w:firstLine="551"/>
        <w:spacing w:after="0" w:line="236" w:lineRule="auto"/>
        <w:rPr>
          <w:sz w:val="20"/>
          <w:szCs w:val="20"/>
          <w:color w:val="auto"/>
        </w:rPr>
      </w:pPr>
      <w:r>
        <w:rPr>
          <w:rFonts w:ascii="Times New Roman" w:cs="Times New Roman" w:eastAsia="Times New Roman" w:hAnsi="Times New Roman"/>
          <w:sz w:val="17"/>
          <w:szCs w:val="17"/>
          <w:color w:val="auto"/>
        </w:rPr>
        <w:t>The following table reports the compensation of our Principal Executive Officer ("PEO") or CEO and the average compensation of the other non-PEO named executive officers ("Non-PEO NEOs") as reported in the Summary Compensation Table for the past four fiscal years, as well as Compensation</w:t>
      </w:r>
    </w:p>
    <w:p>
      <w:pPr>
        <w:ind w:right="40"/>
        <w:spacing w:after="0" w:line="226" w:lineRule="auto"/>
        <w:rPr>
          <w:sz w:val="20"/>
          <w:szCs w:val="20"/>
          <w:color w:val="auto"/>
        </w:rPr>
      </w:pPr>
      <w:r>
        <w:rPr>
          <w:rFonts w:ascii="Times New Roman" w:cs="Times New Roman" w:eastAsia="Times New Roman" w:hAnsi="Times New Roman"/>
          <w:sz w:val="18"/>
          <w:szCs w:val="18"/>
          <w:color w:val="auto"/>
        </w:rPr>
        <w:t>Actually Paid ("CAP") as calculated under new SEC Pay-Versus-Performance ("PVP") disclosure requirements and certain performance measures required by the rules. The disclosure covers our four most-recent fiscal years, which will expand incrementally over the next year to a rolling five years.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Value of Initial Fixed $100 Investment</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6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Based On:</w:t>
            </w: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3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Peer Group Total</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0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Shareholder</w:t>
            </w:r>
          </w:p>
        </w:tc>
        <w:tc>
          <w:tcPr>
            <w:tcW w:w="1320" w:type="dxa"/>
            <w:vAlign w:val="bottom"/>
            <w:gridSpan w:val="2"/>
            <w:vMerge w:val="continue"/>
          </w:tcPr>
          <w:p>
            <w:pPr>
              <w:spacing w:after="0"/>
              <w:rPr>
                <w:sz w:val="12"/>
                <w:szCs w:val="12"/>
                <w:color w:val="auto"/>
              </w:rPr>
            </w:pPr>
          </w:p>
        </w:tc>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GAAP Net Income</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Product Sales</w:t>
            </w:r>
          </w:p>
        </w:tc>
        <w:tc>
          <w:tcPr>
            <w:tcW w:w="0" w:type="dxa"/>
            <w:vAlign w:val="bottom"/>
          </w:tcPr>
          <w:p>
            <w:pPr>
              <w:spacing w:after="0"/>
              <w:rPr>
                <w:sz w:val="1"/>
                <w:szCs w:val="1"/>
                <w:color w:val="auto"/>
              </w:rPr>
            </w:pPr>
          </w:p>
        </w:tc>
      </w:tr>
      <w:tr>
        <w:trPr>
          <w:trHeight w:val="135"/>
        </w:trPr>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3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3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3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13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1300" w:type="dxa"/>
            <w:vAlign w:val="bottom"/>
            <w:gridSpan w:val="2"/>
            <w:vMerge w:val="continue"/>
          </w:tcPr>
          <w:p>
            <w:pPr>
              <w:spacing w:after="0"/>
              <w:rPr>
                <w:sz w:val="11"/>
                <w:szCs w:val="11"/>
                <w:color w:val="auto"/>
              </w:rPr>
            </w:pPr>
          </w:p>
        </w:tc>
        <w:tc>
          <w:tcPr>
            <w:tcW w:w="13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320" w:type="dxa"/>
            <w:vAlign w:val="bottom"/>
            <w:gridSpan w:val="2"/>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60" w:type="dxa"/>
            <w:vAlign w:val="bottom"/>
            <w:gridSpan w:val="2"/>
            <w:vMerge w:val="continue"/>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PEO ($)</w:t>
            </w:r>
            <w:r>
              <w:rPr>
                <w:rFonts w:ascii="Times New Roman" w:cs="Times New Roman" w:eastAsia="Times New Roman" w:hAnsi="Times New Roman"/>
                <w:sz w:val="9"/>
                <w:szCs w:val="9"/>
                <w:b w:val="1"/>
                <w:bCs w:val="1"/>
                <w:color w:val="auto"/>
              </w:rPr>
              <w:t>(1)</w:t>
            </w:r>
          </w:p>
        </w:tc>
        <w:tc>
          <w:tcPr>
            <w:tcW w:w="130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4"/>
                <w:szCs w:val="14"/>
                <w:b w:val="1"/>
                <w:bCs w:val="1"/>
                <w:color w:val="auto"/>
                <w:w w:val="98"/>
              </w:rPr>
              <w:t>PEO ($)</w:t>
            </w:r>
            <w:r>
              <w:rPr>
                <w:rFonts w:ascii="Times New Roman" w:cs="Times New Roman" w:eastAsia="Times New Roman" w:hAnsi="Times New Roman"/>
                <w:sz w:val="18"/>
                <w:szCs w:val="18"/>
                <w:b w:val="1"/>
                <w:bCs w:val="1"/>
                <w:color w:val="auto"/>
                <w:w w:val="98"/>
                <w:vertAlign w:val="superscript"/>
              </w:rPr>
              <w:t>(2)</w:t>
            </w:r>
          </w:p>
        </w:tc>
        <w:tc>
          <w:tcPr>
            <w:tcW w:w="12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(3)</w:t>
            </w:r>
          </w:p>
        </w:tc>
        <w:tc>
          <w:tcPr>
            <w:tcW w:w="8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(4)</w:t>
            </w:r>
          </w:p>
        </w:tc>
        <w:tc>
          <w:tcPr>
            <w:tcW w:w="80" w:type="dxa"/>
            <w:vAlign w:val="bottom"/>
          </w:tcPr>
          <w:p>
            <w:pPr>
              <w:spacing w:after="0"/>
              <w:rPr>
                <w:sz w:val="17"/>
                <w:szCs w:val="17"/>
                <w:color w:val="auto"/>
              </w:rPr>
            </w:pPr>
          </w:p>
        </w:tc>
        <w:tc>
          <w:tcPr>
            <w:tcW w:w="130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9"/>
              </w:rPr>
              <w:t>Return ($)</w:t>
            </w:r>
            <w:r>
              <w:rPr>
                <w:rFonts w:ascii="Times New Roman" w:cs="Times New Roman" w:eastAsia="Times New Roman" w:hAnsi="Times New Roman"/>
                <w:sz w:val="18"/>
                <w:szCs w:val="18"/>
                <w:b w:val="1"/>
                <w:bCs w:val="1"/>
                <w:color w:val="auto"/>
                <w:w w:val="99"/>
                <w:vertAlign w:val="superscript"/>
              </w:rPr>
              <w:t>(5)</w:t>
            </w:r>
          </w:p>
        </w:tc>
        <w:tc>
          <w:tcPr>
            <w:tcW w:w="132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4"/>
                <w:szCs w:val="14"/>
                <w:b w:val="1"/>
                <w:bCs w:val="1"/>
                <w:color w:val="auto"/>
                <w:w w:val="99"/>
              </w:rPr>
              <w:t>Return ($)</w:t>
            </w:r>
            <w:r>
              <w:rPr>
                <w:rFonts w:ascii="Times New Roman" w:cs="Times New Roman" w:eastAsia="Times New Roman" w:hAnsi="Times New Roman"/>
                <w:sz w:val="18"/>
                <w:szCs w:val="18"/>
                <w:b w:val="1"/>
                <w:bCs w:val="1"/>
                <w:color w:val="auto"/>
                <w:w w:val="99"/>
                <w:vertAlign w:val="superscript"/>
              </w:rPr>
              <w:t>(5)</w:t>
            </w:r>
          </w:p>
        </w:tc>
        <w:tc>
          <w:tcPr>
            <w:tcW w:w="132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9"/>
              </w:rPr>
              <w:t>(millions) ($)</w:t>
            </w:r>
            <w:r>
              <w:rPr>
                <w:rFonts w:ascii="Times New Roman" w:cs="Times New Roman" w:eastAsia="Times New Roman" w:hAnsi="Times New Roman"/>
                <w:sz w:val="18"/>
                <w:szCs w:val="18"/>
                <w:b w:val="1"/>
                <w:bCs w:val="1"/>
                <w:color w:val="auto"/>
                <w:w w:val="99"/>
                <w:vertAlign w:val="superscript"/>
              </w:rPr>
              <w:t>(6)</w:t>
            </w:r>
          </w:p>
        </w:tc>
        <w:tc>
          <w:tcPr>
            <w:tcW w:w="122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9"/>
              </w:rPr>
              <w:t>(millions) ($)</w:t>
            </w:r>
            <w:r>
              <w:rPr>
                <w:rFonts w:ascii="Times New Roman" w:cs="Times New Roman" w:eastAsia="Times New Roman" w:hAnsi="Times New Roman"/>
                <w:sz w:val="18"/>
                <w:szCs w:val="18"/>
                <w:b w:val="1"/>
                <w:bCs w:val="1"/>
                <w:color w:val="auto"/>
                <w:w w:val="99"/>
                <w:vertAlign w:val="superscript"/>
              </w:rPr>
              <w:t>(7)</w:t>
            </w:r>
          </w:p>
        </w:tc>
        <w:tc>
          <w:tcPr>
            <w:tcW w:w="0" w:type="dxa"/>
            <w:vAlign w:val="bottom"/>
          </w:tcPr>
          <w:p>
            <w:pPr>
              <w:spacing w:after="0"/>
              <w:rPr>
                <w:sz w:val="1"/>
                <w:szCs w:val="1"/>
                <w:color w:val="auto"/>
              </w:rPr>
            </w:pPr>
          </w:p>
        </w:tc>
      </w:tr>
      <w:tr>
        <w:trPr>
          <w:trHeight w:val="190"/>
        </w:trPr>
        <w:tc>
          <w:tcPr>
            <w:tcW w:w="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0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8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8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80" w:type="dxa"/>
            <w:vAlign w:val="bottom"/>
            <w:tcBorders>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8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80" w:type="dxa"/>
            <w:vAlign w:val="bottom"/>
            <w:tcBorders>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w:t>
            </w:r>
          </w:p>
        </w:tc>
        <w:tc>
          <w:tcPr>
            <w:tcW w:w="80" w:type="dxa"/>
            <w:vAlign w:val="bottom"/>
            <w:tcBorders>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w:t>
            </w:r>
          </w:p>
        </w:tc>
        <w:tc>
          <w:tcPr>
            <w:tcW w:w="8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$15,750,812</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$12,335,515</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$6,286,290</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$5,262,182</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$122.58</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$118.87</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$249.7</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$1,860.6</w:t>
            </w:r>
          </w:p>
        </w:tc>
        <w:tc>
          <w:tcPr>
            <w:tcW w:w="0" w:type="dxa"/>
            <w:vAlign w:val="bottom"/>
          </w:tcPr>
          <w:p>
            <w:pPr>
              <w:spacing w:after="0"/>
              <w:rPr>
                <w:sz w:val="1"/>
                <w:szCs w:val="1"/>
                <w:color w:val="auto"/>
              </w:rPr>
            </w:pPr>
          </w:p>
        </w:tc>
      </w:tr>
      <w:tr>
        <w:trPr>
          <w:trHeight w:val="213"/>
        </w:trPr>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$11,902,527</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$21,886,517</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$5,200,614</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$11,398,982</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$111.46</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$111.66</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$1,440.9</w:t>
            </w:r>
          </w:p>
        </w:tc>
        <w:tc>
          <w:tcPr>
            <w:tcW w:w="0" w:type="dxa"/>
            <w:vAlign w:val="bottom"/>
          </w:tcPr>
          <w:p>
            <w:pPr>
              <w:spacing w:after="0"/>
              <w:rPr>
                <w:sz w:val="1"/>
                <w:szCs w:val="1"/>
                <w:color w:val="auto"/>
              </w:rPr>
            </w:pPr>
          </w:p>
        </w:tc>
      </w:tr>
      <w:tr>
        <w:trPr>
          <w:trHeight w:val="219"/>
        </w:trPr>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$14,081,412</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$4,496,176</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$6,429,791</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$3,012,565</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$79.48</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$125.33</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$1,090.1</w:t>
            </w:r>
          </w:p>
        </w:tc>
        <w:tc>
          <w:tcPr>
            <w:tcW w:w="0" w:type="dxa"/>
            <w:vAlign w:val="bottom"/>
          </w:tcPr>
          <w:p>
            <w:pPr>
              <w:spacing w:after="0"/>
              <w:rPr>
                <w:sz w:val="1"/>
                <w:szCs w:val="1"/>
                <w:color w:val="auto"/>
              </w:rPr>
            </w:pPr>
          </w:p>
        </w:tc>
      </w:tr>
      <w:tr>
        <w:trPr>
          <w:trHeight w:val="210"/>
        </w:trPr>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$13,880,632</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$8,176,596</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$6,522,476</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$4,030,852</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$89.45</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$126.13</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$407.3</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5" w:lineRule="exact"/>
        <w:rPr>
          <w:sz w:val="20"/>
          <w:szCs w:val="20"/>
          <w:color w:val="auto"/>
        </w:rPr>
      </w:pPr>
    </w:p>
    <w:p>
      <w:pPr>
        <w:ind w:left="580" w:right="80" w:hanging="572"/>
        <w:spacing w:after="0" w:line="241" w:lineRule="auto"/>
        <w:tabs>
          <w:tab w:leader="none" w:pos="572"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column (b) are the amounts of total compensation reported for Kevin C. Gorman, Ph.D. (PEO) for each corresponding year in the “Total” column of the Summary Compensation Table.</w:t>
      </w:r>
    </w:p>
    <w:p>
      <w:pPr>
        <w:spacing w:after="0" w:line="14" w:lineRule="exact"/>
        <w:rPr>
          <w:rFonts w:ascii="Times New Roman" w:cs="Times New Roman" w:eastAsia="Times New Roman" w:hAnsi="Times New Roman"/>
          <w:sz w:val="14"/>
          <w:szCs w:val="14"/>
          <w:color w:val="auto"/>
        </w:rPr>
      </w:pPr>
    </w:p>
    <w:p>
      <w:pPr>
        <w:ind w:left="580" w:right="240" w:hanging="572"/>
        <w:spacing w:after="0" w:line="234" w:lineRule="auto"/>
        <w:tabs>
          <w:tab w:leader="none" w:pos="572"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column (c) represent the amount of CAP for Dr. Gorman, as computed in accordance with Item 402(v) of Regulation S-K. The dollar amounts do not reflect the actual amount of compensation earned by or paid to Dr. Gorman during the applicable year. In accordance with the requirements of Item 402(v) of Regulation S-K, the following adjustments were made to Dr. Gorman’s total reported compensation for 2023 to determine the CAP:</w:t>
      </w:r>
    </w:p>
    <w:p>
      <w:pPr>
        <w:sectPr>
          <w:pgSz w:w="11900" w:h="16838" w:orient="portrait"/>
          <w:cols w:equalWidth="0" w:num="1">
            <w:col w:w="11220"/>
          </w:cols>
          <w:pgMar w:left="320" w:top="112" w:right="359" w:bottom="1440" w:gutter="0" w:footer="0" w:header="0"/>
        </w:sectPr>
      </w:pPr>
    </w:p>
    <w:p>
      <w:pPr>
        <w:spacing w:after="0" w:line="204" w:lineRule="exact"/>
        <w:rPr>
          <w:sz w:val="20"/>
          <w:szCs w:val="20"/>
          <w:color w:val="auto"/>
        </w:rPr>
      </w:pPr>
    </w:p>
    <w:p>
      <w:pPr>
        <w:ind w:left="580" w:right="820"/>
        <w:spacing w:after="0" w:line="301" w:lineRule="auto"/>
        <w:rPr>
          <w:sz w:val="20"/>
          <w:szCs w:val="20"/>
          <w:color w:val="auto"/>
        </w:rPr>
      </w:pPr>
      <w:r>
        <w:rPr>
          <w:rFonts w:ascii="Times New Roman" w:cs="Times New Roman" w:eastAsia="Times New Roman" w:hAnsi="Times New Roman"/>
          <w:sz w:val="14"/>
          <w:szCs w:val="14"/>
          <w:color w:val="auto"/>
        </w:rPr>
        <w:t>Total Compensation for Covered Fiscal Year ("FY") from Summary Compensation Table Deduct: Amounts Reported in "Stock Awards" &amp; "Option Awards" Columns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-258445</wp:posOffset>
            </wp:positionV>
            <wp:extent cx="4534535"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534535" cy="137160"/>
                    </a:xfrm>
                    <a:prstGeom prst="rect">
                      <a:avLst/>
                    </a:prstGeom>
                    <a:noFill/>
                  </pic:spPr>
                </pic:pic>
              </a:graphicData>
            </a:graphic>
          </wp:anchor>
        </w:drawing>
      </w:r>
    </w:p>
    <w:p>
      <w:pPr>
        <w:ind w:left="580" w:right="40"/>
        <w:spacing w:after="0" w:line="251" w:lineRule="auto"/>
        <w:rPr>
          <w:sz w:val="20"/>
          <w:szCs w:val="20"/>
          <w:color w:val="auto"/>
        </w:rPr>
      </w:pPr>
      <w:r>
        <w:rPr>
          <w:rFonts w:ascii="Times New Roman" w:cs="Times New Roman" w:eastAsia="Times New Roman" w:hAnsi="Times New Roman"/>
          <w:sz w:val="14"/>
          <w:szCs w:val="14"/>
          <w:color w:val="auto"/>
        </w:rPr>
        <w:t>Add: Year End Fair Value of Equity Awards Granted During the Covered FY that Remain Outstanding and Unvested as of Last Day of the Covered 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-207645</wp:posOffset>
            </wp:positionV>
            <wp:extent cx="4534535" cy="2146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534535" cy="214630"/>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14"/>
          <w:szCs w:val="14"/>
          <w:color w:val="auto"/>
        </w:rPr>
        <w:t>Add: Change in Fair Value from the end of the Prior FY to the end of the Covered FY</w:t>
      </w:r>
    </w:p>
    <w:p>
      <w:pPr>
        <w:spacing w:after="0" w:line="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Add: Fair Value as of Vesting Date of Equity Awards Granted and Vested in the Covered 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-95885</wp:posOffset>
            </wp:positionV>
            <wp:extent cx="453453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534535" cy="128905"/>
                    </a:xfrm>
                    <a:prstGeom prst="rect">
                      <a:avLst/>
                    </a:prstGeom>
                    <a:noFill/>
                  </pic:spPr>
                </pic:pic>
              </a:graphicData>
            </a:graphic>
          </wp:anchor>
        </w:drawing>
      </w:r>
    </w:p>
    <w:p>
      <w:pPr>
        <w:spacing w:after="0" w:line="22" w:lineRule="exact"/>
        <w:rPr>
          <w:sz w:val="20"/>
          <w:szCs w:val="20"/>
          <w:color w:val="auto"/>
        </w:rPr>
      </w:pPr>
    </w:p>
    <w:p>
      <w:pPr>
        <w:ind w:left="580" w:right="40"/>
        <w:spacing w:after="0" w:line="251" w:lineRule="auto"/>
        <w:rPr>
          <w:sz w:val="20"/>
          <w:szCs w:val="20"/>
          <w:color w:val="auto"/>
        </w:rPr>
      </w:pPr>
      <w:r>
        <w:rPr>
          <w:rFonts w:ascii="Times New Roman" w:cs="Times New Roman" w:eastAsia="Times New Roman" w:hAnsi="Times New Roman"/>
          <w:sz w:val="14"/>
          <w:szCs w:val="14"/>
          <w:color w:val="auto"/>
        </w:rPr>
        <w:t>Add: Change in Fair Value as of the Vesting Date of Equity Awards Granted in Prior FY that Vested in the Covered FY</w:t>
      </w:r>
    </w:p>
    <w:p>
      <w:pPr>
        <w:spacing w:after="0" w:line="1" w:lineRule="exact"/>
        <w:rPr>
          <w:sz w:val="20"/>
          <w:szCs w:val="20"/>
          <w:color w:val="auto"/>
        </w:rPr>
      </w:pPr>
    </w:p>
    <w:p>
      <w:pPr>
        <w:ind w:left="580" w:right="40"/>
        <w:spacing w:after="0" w:line="251" w:lineRule="auto"/>
        <w:rPr>
          <w:sz w:val="20"/>
          <w:szCs w:val="20"/>
          <w:color w:val="auto"/>
        </w:rPr>
      </w:pPr>
      <w:r>
        <w:rPr>
          <w:rFonts w:ascii="Times New Roman" w:cs="Times New Roman" w:eastAsia="Times New Roman" w:hAnsi="Times New Roman"/>
          <w:sz w:val="14"/>
          <w:szCs w:val="14"/>
          <w:color w:val="auto"/>
        </w:rPr>
        <w:t>Add: Fair Value at the End of the Prior FY of Equity Awards that Failed to Meet Vesting Conditions in the Covered 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-207645</wp:posOffset>
            </wp:positionV>
            <wp:extent cx="4534535" cy="2146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534535" cy="214630"/>
                    </a:xfrm>
                    <a:prstGeom prst="rect">
                      <a:avLst/>
                    </a:prstGeom>
                    <a:noFill/>
                  </pic:spPr>
                </pic:pic>
              </a:graphicData>
            </a:graphic>
          </wp:anchor>
        </w:drawing>
      </w:r>
    </w:p>
    <w:p>
      <w:pPr>
        <w:ind w:left="580"/>
        <w:spacing w:after="0" w:line="261" w:lineRule="auto"/>
        <w:rPr>
          <w:sz w:val="20"/>
          <w:szCs w:val="20"/>
          <w:color w:val="auto"/>
        </w:rPr>
      </w:pPr>
      <w:r>
        <w:rPr>
          <w:rFonts w:ascii="Times New Roman" w:cs="Times New Roman" w:eastAsia="Times New Roman" w:hAnsi="Times New Roman"/>
          <w:sz w:val="14"/>
          <w:szCs w:val="14"/>
          <w:color w:val="auto"/>
        </w:rPr>
        <w:t>Add: Value of Dividends or other Earnings Paid on Stock or Option Awards not Otherwise Reflected in Fair Value or Total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-1270</wp:posOffset>
            </wp:positionV>
            <wp:extent cx="4534535"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534535" cy="154305"/>
                    </a:xfrm>
                    <a:prstGeom prst="rect">
                      <a:avLst/>
                    </a:prstGeom>
                    <a:noFill/>
                  </pic:spPr>
                </pic:pic>
              </a:graphicData>
            </a:graphic>
          </wp:anchor>
        </w:drawing>
      </w:r>
    </w:p>
    <w:p>
      <w:pPr>
        <w:spacing w:after="0" w:line="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Compensation Actually Paid (as defined by SEC rule)</w:t>
      </w:r>
    </w:p>
    <w:p>
      <w:pPr>
        <w:spacing w:after="0" w:line="20" w:lineRule="exact"/>
        <w:rPr>
          <w:sz w:val="20"/>
          <w:szCs w:val="20"/>
          <w:color w:val="auto"/>
        </w:rPr>
      </w:pPr>
      <w:r>
        <w:rPr>
          <w:sz w:val="20"/>
          <w:szCs w:val="20"/>
          <w:color w:val="auto"/>
        </w:rPr>
        <w:br w:type="column"/>
      </w:r>
    </w:p>
    <w:p>
      <w:pPr>
        <w:ind w:left="348"/>
        <w:spacing w:after="0"/>
        <w:rPr>
          <w:sz w:val="20"/>
          <w:szCs w:val="20"/>
          <w:color w:val="auto"/>
        </w:rPr>
      </w:pPr>
      <w:r>
        <w:rPr>
          <w:rFonts w:ascii="Times New Roman" w:cs="Times New Roman" w:eastAsia="Times New Roman" w:hAnsi="Times New Roman"/>
          <w:sz w:val="13"/>
          <w:szCs w:val="13"/>
          <w:b w:val="1"/>
          <w:bCs w:val="1"/>
          <w:color w:val="auto"/>
        </w:rPr>
        <w:t>2023</w:t>
      </w:r>
    </w:p>
    <w:p>
      <w:pPr>
        <w:spacing w:after="0" w:line="37" w:lineRule="exact"/>
        <w:rPr>
          <w:sz w:val="20"/>
          <w:szCs w:val="20"/>
          <w:color w:val="auto"/>
        </w:rPr>
      </w:pPr>
    </w:p>
    <w:p>
      <w:pPr>
        <w:ind w:left="248" w:hanging="248"/>
        <w:spacing w:after="0"/>
        <w:tabs>
          <w:tab w:leader="none" w:pos="248"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15,750,812</w:t>
      </w:r>
    </w:p>
    <w:p>
      <w:pPr>
        <w:spacing w:after="0" w:line="41" w:lineRule="exact"/>
        <w:rPr>
          <w:rFonts w:ascii="Times New Roman" w:cs="Times New Roman" w:eastAsia="Times New Roman" w:hAnsi="Times New Roman"/>
          <w:sz w:val="14"/>
          <w:szCs w:val="14"/>
          <w:color w:val="auto"/>
        </w:rPr>
      </w:pPr>
    </w:p>
    <w:p>
      <w:pPr>
        <w:ind w:left="24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13,700,176</w:t>
      </w:r>
    </w:p>
    <w:p>
      <w:pPr>
        <w:spacing w:after="0" w:line="177" w:lineRule="exact"/>
        <w:rPr>
          <w:sz w:val="20"/>
          <w:szCs w:val="20"/>
          <w:color w:val="auto"/>
        </w:rPr>
      </w:pPr>
    </w:p>
    <w:p>
      <w:pPr>
        <w:ind w:left="308"/>
        <w:spacing w:after="0"/>
        <w:rPr>
          <w:sz w:val="20"/>
          <w:szCs w:val="20"/>
          <w:color w:val="auto"/>
        </w:rPr>
      </w:pPr>
      <w:r>
        <w:rPr>
          <w:rFonts w:ascii="Times New Roman" w:cs="Times New Roman" w:eastAsia="Times New Roman" w:hAnsi="Times New Roman"/>
          <w:sz w:val="14"/>
          <w:szCs w:val="14"/>
          <w:color w:val="auto"/>
        </w:rPr>
        <w:t>9,092,870</w:t>
      </w:r>
    </w:p>
    <w:p>
      <w:pPr>
        <w:spacing w:after="0" w:line="42" w:lineRule="exact"/>
        <w:rPr>
          <w:sz w:val="20"/>
          <w:szCs w:val="20"/>
          <w:color w:val="auto"/>
        </w:rPr>
      </w:pPr>
    </w:p>
    <w:p>
      <w:pPr>
        <w:jc w:val="right"/>
        <w:ind w:right="3640"/>
        <w:spacing w:after="0"/>
        <w:rPr>
          <w:sz w:val="20"/>
          <w:szCs w:val="20"/>
          <w:color w:val="auto"/>
        </w:rPr>
      </w:pPr>
      <w:r>
        <w:rPr>
          <w:rFonts w:ascii="Times New Roman" w:cs="Times New Roman" w:eastAsia="Times New Roman" w:hAnsi="Times New Roman"/>
          <w:sz w:val="14"/>
          <w:szCs w:val="14"/>
          <w:color w:val="auto"/>
        </w:rPr>
        <w:t>(101,013)</w:t>
      </w:r>
    </w:p>
    <w:p>
      <w:pPr>
        <w:spacing w:after="0" w:line="42" w:lineRule="exact"/>
        <w:rPr>
          <w:sz w:val="20"/>
          <w:szCs w:val="20"/>
          <w:color w:val="auto"/>
        </w:rPr>
      </w:pPr>
    </w:p>
    <w:p>
      <w:pPr>
        <w:ind w:left="308"/>
        <w:spacing w:after="0"/>
        <w:rPr>
          <w:sz w:val="20"/>
          <w:szCs w:val="20"/>
          <w:color w:val="auto"/>
        </w:rPr>
      </w:pPr>
      <w:r>
        <w:rPr>
          <w:rFonts w:ascii="Times New Roman" w:cs="Times New Roman" w:eastAsia="Times New Roman" w:hAnsi="Times New Roman"/>
          <w:sz w:val="14"/>
          <w:szCs w:val="14"/>
          <w:color w:val="auto"/>
        </w:rPr>
        <w:t>1,334,539</w:t>
      </w:r>
    </w:p>
    <w:p>
      <w:pPr>
        <w:spacing w:after="0" w:line="17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(41,517)</w:t>
      </w:r>
    </w:p>
    <w:p>
      <w:pPr>
        <w:spacing w:after="0" w:line="177"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4"/>
          <w:szCs w:val="14"/>
          <w:color w:val="auto"/>
        </w:rPr>
        <w:t>—</w:t>
      </w:r>
    </w:p>
    <w:p>
      <w:pPr>
        <w:spacing w:after="0" w:line="55" w:lineRule="exact"/>
        <w:rPr>
          <w:sz w:val="20"/>
          <w:szCs w:val="20"/>
          <w:color w:val="auto"/>
        </w:rPr>
      </w:pPr>
    </w:p>
    <w:p>
      <w:pPr>
        <w:ind w:left="248" w:hanging="248"/>
        <w:spacing w:after="0"/>
        <w:tabs>
          <w:tab w:leader="none" w:pos="248"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12,335,515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6172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6520" w:space="132"/>
            <w:col w:w="4568"/>
          </w:cols>
          <w:pgMar w:left="320" w:top="112" w:right="359" w:bottom="1440" w:gutter="0" w:footer="0" w:header="0"/>
          <w:type w:val="continuous"/>
        </w:sectPr>
      </w:pPr>
    </w:p>
    <w:p>
      <w:pPr>
        <w:spacing w:after="0" w:line="44" w:lineRule="exact"/>
        <w:rPr>
          <w:sz w:val="20"/>
          <w:szCs w:val="20"/>
          <w:color w:val="auto"/>
        </w:rPr>
      </w:pPr>
    </w:p>
    <w:p>
      <w:pPr>
        <w:ind w:left="580" w:right="40" w:hanging="572"/>
        <w:spacing w:after="0" w:line="223" w:lineRule="auto"/>
        <w:tabs>
          <w:tab w:leader="none" w:pos="57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column (d) represent the average of the amounts reported for the Company’s Non-PEO NEOs as a group in the “Total” column of the Summary Compensation Table in each applicable year. The names of each of the Non-PEO NEOs included for purposes of calculating the average amounts in each applicable year are as follows:</w:t>
      </w:r>
    </w:p>
    <w:p>
      <w:pPr>
        <w:ind w:left="580" w:right="200"/>
        <w:spacing w:after="0" w:line="22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for 2023, Matthew C. Abernethy, Kyle W. Gano, Ph.D., Jude Onyia, Ph.D., and Eiry W. Roberts, M.D.; (ii) for 2022, Matthew C. Abernethy, Kyle W. Gano, Ph.D., Darin M. Lippoldt, and Eiry W. Roberts, M.D.; (iii) for 2021, Matthew C. Abernethy, Eric Benevich, Jude Onyia, Ph.D., and Eiry W. Roberts, M.D.; (iv) for 2020, Matthew C. Abernethy, Eric Benevich, Kyle W. Gano, Ph.D., and Eiry W. Roberts, M.D.</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364" w:lineRule="exact"/>
        <w:rPr>
          <w:sz w:val="20"/>
          <w:szCs w:val="20"/>
          <w:color w:val="auto"/>
        </w:rPr>
      </w:pPr>
    </w:p>
    <w:p>
      <w:pPr>
        <w:ind w:left="580" w:right="100" w:hanging="572"/>
        <w:spacing w:after="0" w:line="231" w:lineRule="auto"/>
        <w:tabs>
          <w:tab w:leader="none" w:pos="572"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column (e) represent the average amount of CAP to the Non-PEO NEOs, as computed in accordance with Item 402(v) of Regulation S-K. The dollar amounts do not reflect the actual average amount of compensation earned by or paid to the NEOs as a group (excluding Dr. Gorman) during the applicable year. In accordance with the requirements of Item 402(v) of Regulation S-K, the following adjustments were made to average total reported compensation for the Non-PEO NEOs for each year to determine the CAP, using the same methodology described above in Note 2:</w:t>
      </w:r>
    </w:p>
    <w:p>
      <w:pPr>
        <w:spacing w:after="0" w:line="17" w:lineRule="exact"/>
        <w:rPr>
          <w:sz w:val="20"/>
          <w:szCs w:val="20"/>
          <w:color w:val="auto"/>
        </w:rPr>
      </w:pPr>
    </w:p>
    <w:tbl>
      <w:tblPr>
        <w:tblLayout w:type="fixed"/>
        <w:tblInd w:w="560" w:type="dxa"/>
        <w:tblCellMar>
          <w:top w:w="0" w:type="dxa"/>
          <w:left w:w="0" w:type="dxa"/>
          <w:bottom w:w="0" w:type="dxa"/>
          <w:right w:w="0" w:type="dxa"/>
        </w:tblCellMar>
      </w:tblPr>
      <w:tr>
        <w:trPr>
          <w:trHeight w:val="176"/>
        </w:trPr>
        <w:tc>
          <w:tcPr>
            <w:tcW w:w="60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Compensation for Covered FY from Summary Compensation Table</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6,286,290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Deduct: Amounts Reported in "Stock Awards" &amp; "Option Awards" Columns</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5,187,621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Add: Year End Fair Value of Equity Awards Granted During the Covered FY that Remain Outstanding</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4,212,074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Unvested as of Last Day of the Covered FY</w:t>
            </w: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Change in Fair Value from the end of the Prior FY to the end of the Covered FY</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(68,838)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Fair Value as of Vesting Date of Equity Awards Granted and Vested in the Covered FY</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6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Add: Change in Fair Value as of the Vesting Date of Equity Awards Granted in Prior FY that Vested in</w:t>
            </w:r>
          </w:p>
        </w:tc>
        <w:tc>
          <w:tcPr>
            <w:tcW w:w="2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(597,903)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Covered FY</w:t>
            </w: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Add: Fair Value at the End of the Prior FY of Equity Awards that Failed to Meet Vesting Conditions in</w:t>
            </w:r>
          </w:p>
        </w:tc>
        <w:tc>
          <w:tcPr>
            <w:tcW w:w="2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Covered FY</w:t>
            </w:r>
          </w:p>
        </w:tc>
        <w:tc>
          <w:tcPr>
            <w:tcW w:w="2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6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Add: Value of Dividends or other Earnings Paid on Stock or Option Awards not Otherwise Reflected in</w:t>
            </w:r>
          </w:p>
        </w:tc>
        <w:tc>
          <w:tcPr>
            <w:tcW w:w="20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or Total Compensation</w:t>
            </w:r>
          </w:p>
        </w:tc>
        <w:tc>
          <w:tcPr>
            <w:tcW w:w="2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Actually Paid (as defined by SEC rule)</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5,262,182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580" w:right="160" w:hanging="572"/>
        <w:spacing w:after="0" w:line="231" w:lineRule="auto"/>
        <w:tabs>
          <w:tab w:leader="none" w:pos="57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reflect the cumulative Total Shareholder Return (TSR) of our common stock (column (f)) and the Peer Group (column (g)) for the measurement periods beginning on December 31, 2019 and ending on December 31 of each of 2023, 2022, 2021 and 2020, respectively, calculated in accordance with Item 201(e) of Regulation S-K. “Peer Group” represents the NASDAQ Biotechnology Index, which the Company has identified as its peer group for purposes of Item 402(v) and which is used by the Company for purposes of compliance with Item 201(e) of Regulation S-K.</w:t>
      </w:r>
    </w:p>
    <w:p>
      <w:pPr>
        <w:spacing w:after="0" w:line="14" w:lineRule="exact"/>
        <w:rPr>
          <w:rFonts w:ascii="Times New Roman" w:cs="Times New Roman" w:eastAsia="Times New Roman" w:hAnsi="Times New Roman"/>
          <w:sz w:val="14"/>
          <w:szCs w:val="14"/>
          <w:color w:val="auto"/>
        </w:rPr>
      </w:pPr>
    </w:p>
    <w:p>
      <w:pPr>
        <w:ind w:left="560" w:hanging="552"/>
        <w:spacing w:after="0"/>
        <w:tabs>
          <w:tab w:leader="none" w:pos="5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column (h) represent net income reflected in the Company’s audited financial statements for the applicable fiscal year.</w:t>
      </w:r>
    </w:p>
    <w:p>
      <w:pPr>
        <w:spacing w:after="0" w:line="41" w:lineRule="exact"/>
        <w:rPr>
          <w:rFonts w:ascii="Times New Roman" w:cs="Times New Roman" w:eastAsia="Times New Roman" w:hAnsi="Times New Roman"/>
          <w:sz w:val="14"/>
          <w:szCs w:val="14"/>
          <w:color w:val="auto"/>
        </w:rPr>
      </w:pPr>
    </w:p>
    <w:p>
      <w:pPr>
        <w:ind w:left="580" w:right="320" w:hanging="572"/>
        <w:spacing w:after="0" w:line="241" w:lineRule="auto"/>
        <w:tabs>
          <w:tab w:leader="none" w:pos="57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required by Item 402(v) of Regulation S-K, we have determined that Net Product Sales is the Company-Selected Measure. Dollar amounts reported for INGREZZA net product sales, which represent nearly all of the Company's total net product sales, are reflected in the Company's audited financial statements for the applicable fiscal year.</w:t>
      </w:r>
    </w:p>
    <w:p>
      <w:pPr>
        <w:spacing w:after="0" w:line="181" w:lineRule="exact"/>
        <w:rPr>
          <w:sz w:val="20"/>
          <w:szCs w:val="20"/>
          <w:color w:val="auto"/>
        </w:rPr>
      </w:pPr>
    </w:p>
    <w:p>
      <w:pPr>
        <w:jc w:val="both"/>
        <w:ind w:firstLine="551"/>
        <w:spacing w:after="0" w:line="222" w:lineRule="auto"/>
        <w:rPr>
          <w:sz w:val="20"/>
          <w:szCs w:val="20"/>
          <w:color w:val="auto"/>
        </w:rPr>
      </w:pPr>
      <w:r>
        <w:rPr>
          <w:rFonts w:ascii="Times New Roman" w:cs="Times New Roman" w:eastAsia="Times New Roman" w:hAnsi="Times New Roman"/>
          <w:sz w:val="18"/>
          <w:szCs w:val="18"/>
          <w:color w:val="auto"/>
        </w:rPr>
        <w:t>The assumptions used in calculating the fair value of the equity awards did not differ in any material respect from the assumptions used to calculate the grant date fair value of the awards as reported in the Summary Compensation Table, except that the fair value calculations of (i) the options granted 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or between February 7, 2019 and February 13, 2023 used an estimated term between 1.37 years and 7.04 years in FY 2023, as compared to an estimated term of 6.0 to 6.5 years used to calculate the grant date fair value of such awards, and (ii) the PRSUs assumed payout multipliers at current expectations, which range from 0% to 158% across different grant years and metrics, in each case as compared to the grant date fair value calculations which assumed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payout at target.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Tabular Disclosure of Most Important Performance Measures</w:t>
      </w:r>
    </w:p>
    <w:p>
      <w:pPr>
        <w:spacing w:after="0" w:line="216" w:lineRule="exact"/>
        <w:rPr>
          <w:sz w:val="20"/>
          <w:szCs w:val="20"/>
          <w:color w:val="auto"/>
        </w:rPr>
      </w:pPr>
    </w:p>
    <w:p>
      <w:pPr>
        <w:ind w:right="360" w:firstLine="551"/>
        <w:spacing w:after="0" w:line="226" w:lineRule="auto"/>
        <w:rPr>
          <w:sz w:val="20"/>
          <w:szCs w:val="20"/>
          <w:color w:val="auto"/>
        </w:rPr>
      </w:pPr>
      <w:r>
        <w:rPr>
          <w:rFonts w:ascii="Times New Roman" w:cs="Times New Roman" w:eastAsia="Times New Roman" w:hAnsi="Times New Roman"/>
          <w:sz w:val="18"/>
          <w:szCs w:val="18"/>
          <w:color w:val="auto"/>
        </w:rPr>
        <w:t>The most important financial performance measures used by the company to link CAP to the company’s NEOs for the most recently completed fiscal year to the company’s performance are set forth below. For further information regarding these performance metrics and their function in our executive compensation program, please see “Compensation Discussion and Analysis”.</w:t>
      </w:r>
    </w:p>
    <w:p>
      <w:pPr>
        <w:spacing w:after="0" w:line="160" w:lineRule="exact"/>
        <w:rPr>
          <w:sz w:val="20"/>
          <w:szCs w:val="20"/>
          <w:color w:val="auto"/>
        </w:rPr>
      </w:pPr>
    </w:p>
    <w:p>
      <w:pPr>
        <w:ind w:left="1100" w:hanging="314"/>
        <w:spacing w:after="0"/>
        <w:tabs>
          <w:tab w:leader="none" w:pos="11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Product Sales</w:t>
      </w:r>
    </w:p>
    <w:p>
      <w:pPr>
        <w:ind w:left="1100" w:hanging="314"/>
        <w:spacing w:after="0" w:line="203" w:lineRule="auto"/>
        <w:tabs>
          <w:tab w:leader="none" w:pos="11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Expense</w:t>
      </w:r>
    </w:p>
    <w:p>
      <w:pPr>
        <w:ind w:left="1100" w:hanging="314"/>
        <w:spacing w:after="0" w:line="219" w:lineRule="auto"/>
        <w:tabs>
          <w:tab w:leader="none" w:pos="11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w:t>
      </w:r>
    </w:p>
    <w:p>
      <w:pPr>
        <w:ind w:left="1100" w:hanging="314"/>
        <w:spacing w:after="0" w:line="203" w:lineRule="auto"/>
        <w:tabs>
          <w:tab w:leader="none" w:pos="11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Pipeline Progression</w:t>
      </w:r>
    </w:p>
    <w:p>
      <w:pPr>
        <w:ind w:left="1100" w:hanging="314"/>
        <w:spacing w:after="0" w:line="203" w:lineRule="auto"/>
        <w:tabs>
          <w:tab w:leader="none" w:pos="11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Advancement</w:t>
      </w:r>
    </w:p>
    <w:p>
      <w:pPr>
        <w:ind w:left="1100" w:hanging="314"/>
        <w:spacing w:after="0"/>
        <w:tabs>
          <w:tab w:leader="none" w:pos="11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Prescriptions (TRx)</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Disclosure of the Relationship Between Compensation Actually Paid and Financial Performance Measures</w:t>
      </w:r>
    </w:p>
    <w:p>
      <w:pPr>
        <w:spacing w:after="0" w:line="189" w:lineRule="exact"/>
        <w:rPr>
          <w:sz w:val="20"/>
          <w:szCs w:val="20"/>
          <w:color w:val="auto"/>
        </w:rPr>
      </w:pPr>
    </w:p>
    <w:p>
      <w:pPr>
        <w:ind w:right="20" w:firstLine="551"/>
        <w:spacing w:after="0" w:line="236" w:lineRule="auto"/>
        <w:rPr>
          <w:sz w:val="20"/>
          <w:szCs w:val="20"/>
          <w:color w:val="auto"/>
        </w:rPr>
      </w:pPr>
      <w:r>
        <w:rPr>
          <w:rFonts w:ascii="Times New Roman" w:cs="Times New Roman" w:eastAsia="Times New Roman" w:hAnsi="Times New Roman"/>
          <w:sz w:val="17"/>
          <w:szCs w:val="17"/>
          <w:color w:val="auto"/>
        </w:rPr>
        <w:t>As required by Item 402(v) of Regulation S-K, we are providing the following graphs to illustrate the relationship between the pay and performance figures that are included in the pay versus performance tabular disclosure above. In addition, the first graph below further illustrates the relationship</w:t>
      </w:r>
    </w:p>
    <w:p>
      <w:pPr>
        <w:spacing w:after="0" w:line="218" w:lineRule="auto"/>
        <w:rPr>
          <w:sz w:val="20"/>
          <w:szCs w:val="20"/>
          <w:color w:val="auto"/>
        </w:rPr>
      </w:pPr>
      <w:r>
        <w:rPr>
          <w:rFonts w:ascii="Times New Roman" w:cs="Times New Roman" w:eastAsia="Times New Roman" w:hAnsi="Times New Roman"/>
          <w:sz w:val="18"/>
          <w:szCs w:val="18"/>
          <w:color w:val="auto"/>
        </w:rPr>
        <w:t>between Company total shareholder return and that of the Peer Group. As noted above, CAP for purposes of the tabular disclosure and the following graphs were calculated in accordance with SEC rules and do not fully represent the actual final amount of compensation earned by or actually paid to our NEOs during the applicable fiscal years.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381000</wp:posOffset>
            </wp:positionV>
            <wp:extent cx="5254625" cy="7774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254625" cy="7774940"/>
                    </a:xfrm>
                    <a:prstGeom prst="rect">
                      <a:avLst/>
                    </a:prstGeom>
                    <a:noFill/>
                  </pic:spPr>
                </pic:pic>
              </a:graphicData>
            </a:graphic>
          </wp:anchor>
        </w:drawing>
      </w:r>
    </w:p>
    <w:p>
      <w:pPr>
        <w:sectPr>
          <w:pgSz w:w="11900" w:h="16838" w:orient="portrait"/>
          <w:cols w:equalWidth="0" w:num="1">
            <w:col w:w="10139"/>
          </w:cols>
          <w:pgMar w:left="320" w:top="1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2" w:right="1440"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381000</wp:posOffset>
            </wp:positionV>
            <wp:extent cx="5254625" cy="38576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254625"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8"/>
          <w:szCs w:val="18"/>
          <w:i w:val="1"/>
          <w:iCs w:val="1"/>
          <w:color w:val="auto"/>
        </w:rPr>
        <w:t>All information provided above under the “Item 402(v) Pay Versus Performance”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by reference.</w:t>
      </w: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DIRECTORS COMPENSATION SUMMARY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Philosophy</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non-employee director compensation philosophy is based on the following guiding principles:</w:t>
      </w:r>
    </w:p>
    <w:p>
      <w:pPr>
        <w:spacing w:after="0" w:line="185" w:lineRule="exact"/>
        <w:rPr>
          <w:sz w:val="20"/>
          <w:szCs w:val="20"/>
          <w:color w:val="auto"/>
        </w:rPr>
      </w:pPr>
    </w:p>
    <w:p>
      <w:pPr>
        <w:ind w:left="1020" w:hanging="234"/>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Aligning the long-term interests of stockholders and directors; and</w:t>
      </w:r>
    </w:p>
    <w:p>
      <w:pPr>
        <w:spacing w:after="0" w:line="36" w:lineRule="exact"/>
        <w:rPr>
          <w:rFonts w:ascii="Times New Roman" w:cs="Times New Roman" w:eastAsia="Times New Roman" w:hAnsi="Times New Roman"/>
          <w:sz w:val="18"/>
          <w:szCs w:val="18"/>
          <w:color w:val="auto"/>
        </w:rPr>
      </w:pPr>
    </w:p>
    <w:p>
      <w:pPr>
        <w:ind w:left="1020" w:hanging="234"/>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Compensating directors appropriately and adequately for their time, effort and experience.</w:t>
      </w:r>
    </w:p>
    <w:p>
      <w:pPr>
        <w:spacing w:after="0" w:line="185" w:lineRule="exact"/>
        <w:rPr>
          <w:sz w:val="20"/>
          <w:szCs w:val="20"/>
          <w:color w:val="auto"/>
        </w:rPr>
      </w:pPr>
    </w:p>
    <w:p>
      <w:pPr>
        <w:ind w:right="40" w:firstLine="551"/>
        <w:spacing w:after="0" w:line="222" w:lineRule="auto"/>
        <w:rPr>
          <w:sz w:val="20"/>
          <w:szCs w:val="20"/>
          <w:color w:val="auto"/>
        </w:rPr>
      </w:pPr>
      <w:r>
        <w:rPr>
          <w:rFonts w:ascii="Times New Roman" w:cs="Times New Roman" w:eastAsia="Times New Roman" w:hAnsi="Times New Roman"/>
          <w:sz w:val="18"/>
          <w:szCs w:val="18"/>
          <w:color w:val="auto"/>
        </w:rPr>
        <w:t>The elements of director compensation consist of annual cash retainers and equity awards, as well as customary and usual expense reimbursement in attending Board or committee meetings. In an effort to align the long-term interests of our stockholders and non-employee directors, the mix of cash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has historically been, and is currently, weighted more heavily to equity.</w:t>
      </w:r>
    </w:p>
    <w:p>
      <w:pPr>
        <w:spacing w:after="0" w:line="165" w:lineRule="exact"/>
        <w:rPr>
          <w:sz w:val="20"/>
          <w:szCs w:val="20"/>
          <w:color w:val="auto"/>
        </w:rPr>
      </w:pPr>
    </w:p>
    <w:p>
      <w:pPr>
        <w:ind w:right="480" w:firstLine="551"/>
        <w:spacing w:after="0" w:line="236" w:lineRule="auto"/>
        <w:rPr>
          <w:sz w:val="20"/>
          <w:szCs w:val="20"/>
          <w:color w:val="auto"/>
        </w:rPr>
      </w:pPr>
      <w:r>
        <w:rPr>
          <w:rFonts w:ascii="Times New Roman" w:cs="Times New Roman" w:eastAsia="Times New Roman" w:hAnsi="Times New Roman"/>
          <w:sz w:val="17"/>
          <w:szCs w:val="17"/>
          <w:color w:val="auto"/>
        </w:rPr>
        <w:t>The Board and the Company’s stockholders have approved certain annual limits on compensation to be paid to the Company’s non-employee directors. Our 2020 Plan provides that the aggregate value of all compensation granted or paid by us to any individual for service as a non-employee</w:t>
      </w:r>
    </w:p>
    <w:p>
      <w:pPr>
        <w:ind w:right="140"/>
        <w:spacing w:after="0" w:line="208" w:lineRule="auto"/>
        <w:rPr>
          <w:sz w:val="20"/>
          <w:szCs w:val="20"/>
          <w:color w:val="auto"/>
        </w:rPr>
      </w:pPr>
      <w:r>
        <w:rPr>
          <w:rFonts w:ascii="Times New Roman" w:cs="Times New Roman" w:eastAsia="Times New Roman" w:hAnsi="Times New Roman"/>
          <w:sz w:val="18"/>
          <w:szCs w:val="18"/>
          <w:color w:val="auto"/>
        </w:rPr>
        <w:t>director with respect to any period commencing on the date of the annual stockholders meeting for a particular year and ending on the date of the annual stockholders meeting for the next subsequent year (such period, the “annual period”), including awards granted under our 2020 Plan and cash fees paid to such non-employee director, will not exceed $1,250,000 in total value. In addition, the aggregate value of any equity award(s) granted by us to any</w:t>
      </w:r>
    </w:p>
    <w:p>
      <w:pPr>
        <w:spacing w:after="0" w:line="2"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7"/>
          <w:szCs w:val="17"/>
          <w:color w:val="auto"/>
        </w:rPr>
        <w:t>individual for service as a non-employee director upon or in connection with his or her initial election or appointment to the Board of Directors will not exceed $2,000,000 in total value (such that the aggregate compensation granted or paid by us to any individual for service as a non-employee director with respect to an annual period in which such individual is first appointed or elected to the Board of Directors will not exceed $3,250,000 in total value). For purposes of these limitations, the value of any equity awards is calculated based on the grant date fair value of such awards for financial reporting purposes.</w:t>
      </w:r>
    </w:p>
    <w:p>
      <w:pPr>
        <w:spacing w:after="0" w:line="2" w:lineRule="exact"/>
        <w:rPr>
          <w:sz w:val="20"/>
          <w:szCs w:val="20"/>
          <w:color w:val="auto"/>
        </w:rPr>
      </w:pPr>
    </w:p>
    <w:p>
      <w:pPr>
        <w:ind w:right="520"/>
        <w:spacing w:after="0" w:line="226" w:lineRule="auto"/>
        <w:rPr>
          <w:sz w:val="20"/>
          <w:szCs w:val="20"/>
          <w:color w:val="auto"/>
        </w:rPr>
      </w:pPr>
      <w:r>
        <w:rPr>
          <w:rFonts w:ascii="Times New Roman" w:cs="Times New Roman" w:eastAsia="Times New Roman" w:hAnsi="Times New Roman"/>
          <w:sz w:val="18"/>
          <w:szCs w:val="18"/>
          <w:color w:val="auto"/>
        </w:rPr>
        <w:t>The Amended 2020 Plan proposed for approval in Proposal Three of this Proxy Statement contains the same annual limits on non-employee director compensation as the 2020 Plan.</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Compensation Committee regularly assesses, on at least an annual basis, our non-employee director compensation program in consultation</w:t>
      </w:r>
    </w:p>
    <w:p>
      <w:pPr>
        <w:spacing w:after="0" w:line="2"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with its independent compensation consultant, who provides analysis and input on recent developments, prevailing market practices, and recommends any changes to the program to our Board, who ultimately approves non-employee director compensation.</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fiscal 2023 compensation for the Company’s non-employee directors was recommended by the Compensation Committee to the Board</w:t>
      </w:r>
    </w:p>
    <w:p>
      <w:pPr>
        <w:spacing w:after="0" w:line="2" w:lineRule="exact"/>
        <w:rPr>
          <w:sz w:val="20"/>
          <w:szCs w:val="20"/>
          <w:color w:val="auto"/>
        </w:rPr>
      </w:pPr>
    </w:p>
    <w:p>
      <w:pPr>
        <w:ind w:right="140"/>
        <w:spacing w:after="0" w:line="208" w:lineRule="auto"/>
        <w:rPr>
          <w:sz w:val="20"/>
          <w:szCs w:val="20"/>
          <w:color w:val="auto"/>
        </w:rPr>
      </w:pPr>
      <w:r>
        <w:rPr>
          <w:rFonts w:ascii="Times New Roman" w:cs="Times New Roman" w:eastAsia="Times New Roman" w:hAnsi="Times New Roman"/>
          <w:sz w:val="18"/>
          <w:szCs w:val="18"/>
          <w:color w:val="auto"/>
        </w:rPr>
        <w:t>following the review of a report from FW Cook, its independent compensation consultant, which contained an analysis of prevailing market practices regarding levels and types of non-employee director compensation, including the non-employee director compensation practices of our peer group, which is described in the “Compensation Discussion and Analysis” section of this Proxy Statement, and a comparative assessment of our non-employee director</w:t>
      </w:r>
    </w:p>
    <w:p>
      <w:pPr>
        <w:spacing w:after="0" w:line="2" w:lineRule="exact"/>
        <w:rPr>
          <w:sz w:val="20"/>
          <w:szCs w:val="20"/>
          <w:color w:val="auto"/>
        </w:rPr>
      </w:pPr>
    </w:p>
    <w:p>
      <w:pPr>
        <w:ind w:right="260"/>
        <w:spacing w:after="0" w:line="218" w:lineRule="auto"/>
        <w:rPr>
          <w:sz w:val="20"/>
          <w:szCs w:val="20"/>
          <w:color w:val="auto"/>
        </w:rPr>
      </w:pPr>
      <w:r>
        <w:rPr>
          <w:rFonts w:ascii="Times New Roman" w:cs="Times New Roman" w:eastAsia="Times New Roman" w:hAnsi="Times New Roman"/>
          <w:sz w:val="18"/>
          <w:szCs w:val="18"/>
          <w:color w:val="auto"/>
        </w:rPr>
        <w:t>compensation to such peers and market practices. In fiscal 2023, the Compensation Committee also received a presentation from FW Cook about recent developments and best practices related to non-employee directors to inform its analysis of, and recommendations regarding, non-employee director compensation.</w:t>
      </w:r>
    </w:p>
    <w:p>
      <w:pPr>
        <w:spacing w:after="0" w:line="172" w:lineRule="exact"/>
        <w:rPr>
          <w:sz w:val="20"/>
          <w:szCs w:val="20"/>
          <w:color w:val="auto"/>
        </w:rPr>
      </w:pPr>
    </w:p>
    <w:p>
      <w:pPr>
        <w:ind w:right="20" w:firstLine="551"/>
        <w:spacing w:after="0" w:line="216" w:lineRule="auto"/>
        <w:rPr>
          <w:sz w:val="20"/>
          <w:szCs w:val="20"/>
          <w:color w:val="auto"/>
        </w:rPr>
      </w:pPr>
      <w:r>
        <w:rPr>
          <w:rFonts w:ascii="Times New Roman" w:cs="Times New Roman" w:eastAsia="Times New Roman" w:hAnsi="Times New Roman"/>
          <w:sz w:val="18"/>
          <w:szCs w:val="18"/>
          <w:color w:val="auto"/>
        </w:rPr>
        <w:t>In formulating its recommendations to the Board for fiscal 2023, the Compensation Committee did not engage in benchmarking or targeting compensation to a specific level of the peer group data provided by FW Cook, but rather used the peer data as a reference point in making non-employee director compensation recommendations. For 2023, the Compensation Committee determined that each non-employee director may elect to receive the full</w:t>
      </w:r>
    </w:p>
    <w:p>
      <w:pPr>
        <w:spacing w:after="0" w:line="1"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17"/>
          <w:szCs w:val="17"/>
          <w:color w:val="auto"/>
        </w:rPr>
        <w:t>value of his or her annual award in the form of (i) restricted stock units, (ii) nonstatutory stock options, or (iii) 50% restricted stock units and 50% nonstatutory stock options. It is the Compensation Committee’s view that offering both stock options and restricted stock units provides a total compensation package that enables us to retain and attract highly skilled and qualified non-employee directors. Ultimately, the Board set fiscal 2023 non-</w:t>
      </w:r>
    </w:p>
    <w:p>
      <w:pPr>
        <w:spacing w:after="0" w:line="2"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17"/>
          <w:szCs w:val="17"/>
          <w:color w:val="auto"/>
        </w:rPr>
        <w:t>employee director compensation in the forms and amounts it determined to be appropriate using its professional experience and judgment, after careful review of the FW Cook analysis and the Compensation Committee’s recommendations. Our director compensation for fiscal 2023 is described below.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for 2023</w:t>
      </w:r>
    </w:p>
    <w:p>
      <w:pPr>
        <w:spacing w:after="0" w:line="202" w:lineRule="exact"/>
        <w:rPr>
          <w:sz w:val="20"/>
          <w:szCs w:val="20"/>
          <w:color w:val="auto"/>
        </w:rPr>
      </w:pPr>
    </w:p>
    <w:p>
      <w:pPr>
        <w:ind w:right="20" w:firstLine="551"/>
        <w:spacing w:after="0" w:line="229" w:lineRule="auto"/>
        <w:rPr>
          <w:sz w:val="20"/>
          <w:szCs w:val="20"/>
          <w:color w:val="auto"/>
        </w:rPr>
      </w:pPr>
      <w:r>
        <w:rPr>
          <w:rFonts w:ascii="Times New Roman" w:cs="Times New Roman" w:eastAsia="Times New Roman" w:hAnsi="Times New Roman"/>
          <w:sz w:val="17"/>
          <w:szCs w:val="17"/>
          <w:color w:val="auto"/>
        </w:rPr>
        <w:t>For fiscal 2023, directors who are not employees of the Company earned a $60,000 annual cash retainer. The Company provided the Chair of the Board, William H. Rastetter, an additional $35,000, making his total annual cash retainer $95,000. In addition to the cash compensation set forth above, the Chair of the Audit Committee earned an additional $25,000 annual cash retainer, the Chair of the Compensation Committee earned an additional $20,000</w:t>
      </w:r>
    </w:p>
    <w:p>
      <w:pPr>
        <w:ind w:right="140"/>
        <w:spacing w:after="0" w:line="220" w:lineRule="auto"/>
        <w:rPr>
          <w:sz w:val="20"/>
          <w:szCs w:val="20"/>
          <w:color w:val="auto"/>
        </w:rPr>
      </w:pPr>
      <w:r>
        <w:rPr>
          <w:rFonts w:ascii="Times New Roman" w:cs="Times New Roman" w:eastAsia="Times New Roman" w:hAnsi="Times New Roman"/>
          <w:sz w:val="17"/>
          <w:szCs w:val="17"/>
          <w:color w:val="auto"/>
        </w:rPr>
        <w:t>annual cash retainer, and the Chair of the Nominating / Corporate Governance Committee earned an additional $15,000 annual cash retainer. Each other director who was a member of the Audit Committee, the Compensation Committee, the Nominating / Corporate Governance Committee earned an additional annual cash retainer of $12,000, $12,000, and $7,500, respectively, for each Committee on which she or he served. Non-employee directors are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reimbursed for expenses incurred in connection with performing their duties as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fiscal 2023, on the date of the 2023 Annual Meeting of Stockholders, each continuing non-employee director received an annual equity award</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with an approximate grant date value of $400,000. Each non-employee director had the ability to elect to receive the full value of his or her annual award in the form of (i) restricted stock units, (ii) nonstatutory stock options, or (iii) 50% restricted stock units and 50% nonstatutory stock options. The restricted stock units granted to non-employee directors vest in full on the one-year anniversary of the date of grant. The options granted to non-employee directors</w:t>
      </w:r>
    </w:p>
    <w:p>
      <w:pPr>
        <w:spacing w:after="0" w:line="2" w:lineRule="exact"/>
        <w:rPr>
          <w:sz w:val="20"/>
          <w:szCs w:val="20"/>
          <w:color w:val="auto"/>
        </w:rPr>
      </w:pPr>
    </w:p>
    <w:p>
      <w:pPr>
        <w:jc w:val="both"/>
        <w:ind w:right="220"/>
        <w:spacing w:after="0" w:line="208" w:lineRule="auto"/>
        <w:rPr>
          <w:sz w:val="20"/>
          <w:szCs w:val="20"/>
          <w:color w:val="auto"/>
        </w:rPr>
      </w:pPr>
      <w:r>
        <w:rPr>
          <w:rFonts w:ascii="Times New Roman" w:cs="Times New Roman" w:eastAsia="Times New Roman" w:hAnsi="Times New Roman"/>
          <w:sz w:val="18"/>
          <w:szCs w:val="18"/>
          <w:color w:val="auto"/>
        </w:rPr>
        <w:t>have exercise prices equal to the closing price of the Company’s common stock on the date of the grant, are subject to a ten-year term, and vest in full on the one-year anniversary of the date of grant. Additionally, newly-appointed members of our Board of Directors received an initial equity award with an approximate grant value of $800,000 on their date of appointment. This initial equity award is comprised 100% of nonstatutory stock options, vests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monthly over three years, and has a ten-year term.</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compensation earned for the fiscal year ended December 31, 2023 by the directors of the Company named below:</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13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40" w:type="dxa"/>
            <w:vAlign w:val="bottom"/>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060" w:type="dxa"/>
            <w:vAlign w:val="bottom"/>
            <w:gridSpan w:val="2"/>
            <w:vMerge w:val="continue"/>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Cash (1)</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Awards (2)</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Awards (3)</w:t>
            </w: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Kevin C. Gorman, Ph.D. (4)</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William H. Rastetter, Ph.D. (5)</w:t>
            </w: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$95,000</w:t>
            </w:r>
          </w:p>
        </w:tc>
        <w:tc>
          <w:tcPr>
            <w:tcW w:w="12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$400,039</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$495,039</w:t>
            </w:r>
          </w:p>
        </w:tc>
        <w:tc>
          <w:tcPr>
            <w:tcW w:w="0" w:type="dxa"/>
            <w:vAlign w:val="bottom"/>
          </w:tcPr>
          <w:p>
            <w:pPr>
              <w:spacing w:after="0"/>
              <w:rPr>
                <w:sz w:val="1"/>
                <w:szCs w:val="1"/>
                <w:color w:val="auto"/>
              </w:rPr>
            </w:pPr>
          </w:p>
        </w:tc>
      </w:tr>
      <w:tr>
        <w:trPr>
          <w:trHeight w:val="219"/>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Gary A. Lyons (6)</w:t>
            </w:r>
          </w:p>
        </w:tc>
        <w:tc>
          <w:tcPr>
            <w:tcW w:w="1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$60,000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$200,043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$200,067</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$460,110</w:t>
            </w:r>
          </w:p>
        </w:tc>
        <w:tc>
          <w:tcPr>
            <w:tcW w:w="0" w:type="dxa"/>
            <w:vAlign w:val="bottom"/>
          </w:tcPr>
          <w:p>
            <w:pPr>
              <w:spacing w:after="0"/>
              <w:rPr>
                <w:sz w:val="1"/>
                <w:szCs w:val="1"/>
                <w:color w:val="auto"/>
              </w:rPr>
            </w:pPr>
          </w:p>
        </w:tc>
      </w:tr>
      <w:tr>
        <w:trPr>
          <w:trHeight w:val="213"/>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Johanna Mercier (7)</w:t>
            </w: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$67,500</w:t>
            </w:r>
          </w:p>
        </w:tc>
        <w:tc>
          <w:tcPr>
            <w:tcW w:w="12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$200,043</w:t>
            </w:r>
          </w:p>
        </w:tc>
        <w:tc>
          <w:tcPr>
            <w:tcW w:w="120" w:type="dxa"/>
            <w:vAlign w:val="bottom"/>
          </w:tcPr>
          <w:p>
            <w:pPr>
              <w:spacing w:after="0"/>
              <w:rPr>
                <w:sz w:val="18"/>
                <w:szCs w:val="18"/>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$200,067</w:t>
            </w:r>
          </w:p>
        </w:tc>
        <w:tc>
          <w:tcPr>
            <w:tcW w:w="140" w:type="dxa"/>
            <w:vAlign w:val="bottom"/>
          </w:tcPr>
          <w:p>
            <w:pPr>
              <w:spacing w:after="0"/>
              <w:rPr>
                <w:sz w:val="18"/>
                <w:szCs w:val="18"/>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$467,610</w:t>
            </w:r>
          </w:p>
        </w:tc>
        <w:tc>
          <w:tcPr>
            <w:tcW w:w="0" w:type="dxa"/>
            <w:vAlign w:val="bottom"/>
          </w:tcPr>
          <w:p>
            <w:pPr>
              <w:spacing w:after="0"/>
              <w:rPr>
                <w:sz w:val="1"/>
                <w:szCs w:val="1"/>
                <w:color w:val="auto"/>
              </w:rPr>
            </w:pPr>
          </w:p>
        </w:tc>
      </w:tr>
      <w:tr>
        <w:trPr>
          <w:trHeight w:val="219"/>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George J. Morrow (8)</w:t>
            </w:r>
          </w:p>
        </w:tc>
        <w:tc>
          <w:tcPr>
            <w:tcW w:w="1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$79,500</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$400,039</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$479,539</w:t>
            </w:r>
          </w:p>
        </w:tc>
        <w:tc>
          <w:tcPr>
            <w:tcW w:w="0" w:type="dxa"/>
            <w:vAlign w:val="bottom"/>
          </w:tcPr>
          <w:p>
            <w:pPr>
              <w:spacing w:after="0"/>
              <w:rPr>
                <w:sz w:val="1"/>
                <w:szCs w:val="1"/>
                <w:color w:val="auto"/>
              </w:rPr>
            </w:pPr>
          </w:p>
        </w:tc>
      </w:tr>
      <w:tr>
        <w:trPr>
          <w:trHeight w:val="213"/>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Leslie V. Norwalk (9)</w:t>
            </w: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$75,000</w:t>
            </w:r>
          </w:p>
        </w:tc>
        <w:tc>
          <w:tcPr>
            <w:tcW w:w="12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$200,043</w:t>
            </w:r>
          </w:p>
        </w:tc>
        <w:tc>
          <w:tcPr>
            <w:tcW w:w="120" w:type="dxa"/>
            <w:vAlign w:val="bottom"/>
          </w:tcPr>
          <w:p>
            <w:pPr>
              <w:spacing w:after="0"/>
              <w:rPr>
                <w:sz w:val="18"/>
                <w:szCs w:val="18"/>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$200,067</w:t>
            </w:r>
          </w:p>
        </w:tc>
        <w:tc>
          <w:tcPr>
            <w:tcW w:w="140" w:type="dxa"/>
            <w:vAlign w:val="bottom"/>
          </w:tcPr>
          <w:p>
            <w:pPr>
              <w:spacing w:after="0"/>
              <w:rPr>
                <w:sz w:val="18"/>
                <w:szCs w:val="18"/>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$475,110</w:t>
            </w:r>
          </w:p>
        </w:tc>
        <w:tc>
          <w:tcPr>
            <w:tcW w:w="0" w:type="dxa"/>
            <w:vAlign w:val="bottom"/>
          </w:tcPr>
          <w:p>
            <w:pPr>
              <w:spacing w:after="0"/>
              <w:rPr>
                <w:sz w:val="1"/>
                <w:szCs w:val="1"/>
                <w:color w:val="auto"/>
              </w:rPr>
            </w:pPr>
          </w:p>
        </w:tc>
      </w:tr>
      <w:tr>
        <w:trPr>
          <w:trHeight w:val="219"/>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Christine A. Poon (10)</w:t>
            </w:r>
          </w:p>
        </w:tc>
        <w:tc>
          <w:tcPr>
            <w:tcW w:w="1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$13,370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$800,083</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$813,453</w:t>
            </w:r>
          </w:p>
        </w:tc>
        <w:tc>
          <w:tcPr>
            <w:tcW w:w="0" w:type="dxa"/>
            <w:vAlign w:val="bottom"/>
          </w:tcPr>
          <w:p>
            <w:pPr>
              <w:spacing w:after="0"/>
              <w:rPr>
                <w:sz w:val="1"/>
                <w:szCs w:val="1"/>
                <w:color w:val="auto"/>
              </w:rPr>
            </w:pPr>
          </w:p>
        </w:tc>
      </w:tr>
      <w:tr>
        <w:trPr>
          <w:trHeight w:val="213"/>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Richard F. Pops (11)</w:t>
            </w: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$92,000</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$400,039</w:t>
            </w:r>
          </w:p>
        </w:tc>
        <w:tc>
          <w:tcPr>
            <w:tcW w:w="140" w:type="dxa"/>
            <w:vAlign w:val="bottom"/>
          </w:tcPr>
          <w:p>
            <w:pPr>
              <w:spacing w:after="0"/>
              <w:rPr>
                <w:sz w:val="18"/>
                <w:szCs w:val="18"/>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$492,039</w:t>
            </w:r>
          </w:p>
        </w:tc>
        <w:tc>
          <w:tcPr>
            <w:tcW w:w="0" w:type="dxa"/>
            <w:vAlign w:val="bottom"/>
          </w:tcPr>
          <w:p>
            <w:pPr>
              <w:spacing w:after="0"/>
              <w:rPr>
                <w:sz w:val="1"/>
                <w:szCs w:val="1"/>
                <w:color w:val="auto"/>
              </w:rPr>
            </w:pPr>
          </w:p>
        </w:tc>
      </w:tr>
      <w:tr>
        <w:trPr>
          <w:trHeight w:val="219"/>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Shalini Sharp (12)</w:t>
            </w:r>
          </w:p>
        </w:tc>
        <w:tc>
          <w:tcPr>
            <w:tcW w:w="1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$97,000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$200,043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$200,067</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$497,110</w:t>
            </w:r>
          </w:p>
        </w:tc>
        <w:tc>
          <w:tcPr>
            <w:tcW w:w="0" w:type="dxa"/>
            <w:vAlign w:val="bottom"/>
          </w:tcPr>
          <w:p>
            <w:pPr>
              <w:spacing w:after="0"/>
              <w:rPr>
                <w:sz w:val="1"/>
                <w:szCs w:val="1"/>
                <w:color w:val="auto"/>
              </w:rPr>
            </w:pPr>
          </w:p>
        </w:tc>
      </w:tr>
      <w:tr>
        <w:trPr>
          <w:trHeight w:val="21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Stephen A. Sherwin, M.D. (13)</w:t>
            </w: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$79,500</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$400,039</w:t>
            </w:r>
          </w:p>
        </w:tc>
        <w:tc>
          <w:tcPr>
            <w:tcW w:w="140" w:type="dxa"/>
            <w:vAlign w:val="bottom"/>
          </w:tcPr>
          <w:p>
            <w:pPr>
              <w:spacing w:after="0"/>
              <w:rPr>
                <w:sz w:val="18"/>
                <w:szCs w:val="18"/>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$479,539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209550</wp:posOffset>
            </wp:positionV>
            <wp:extent cx="68834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83400" cy="8890"/>
                    </a:xfrm>
                    <a:prstGeom prst="rect">
                      <a:avLst/>
                    </a:prstGeom>
                    <a:noFill/>
                  </pic:spPr>
                </pic:pic>
              </a:graphicData>
            </a:graphic>
          </wp:anchor>
        </w:drawing>
      </w:r>
    </w:p>
    <w:p>
      <w:pPr>
        <w:spacing w:after="0" w:line="381" w:lineRule="exact"/>
        <w:rPr>
          <w:sz w:val="20"/>
          <w:szCs w:val="20"/>
          <w:color w:val="auto"/>
        </w:rPr>
      </w:pPr>
    </w:p>
    <w:p>
      <w:pPr>
        <w:ind w:left="560" w:hanging="552"/>
        <w:spacing w:after="0"/>
        <w:tabs>
          <w:tab w:leader="none" w:pos="5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reflect compensation earned in 2023.</w:t>
      </w:r>
    </w:p>
    <w:p>
      <w:pPr>
        <w:spacing w:after="0" w:line="28" w:lineRule="exact"/>
        <w:rPr>
          <w:rFonts w:ascii="Times New Roman" w:cs="Times New Roman" w:eastAsia="Times New Roman" w:hAnsi="Times New Roman"/>
          <w:sz w:val="14"/>
          <w:szCs w:val="14"/>
          <w:color w:val="auto"/>
        </w:rPr>
      </w:pPr>
    </w:p>
    <w:p>
      <w:pPr>
        <w:ind w:left="580" w:hanging="572"/>
        <w:spacing w:after="0" w:line="231" w:lineRule="auto"/>
        <w:tabs>
          <w:tab w:leader="none" w:pos="572"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represent the full grant date fair value of option awards granted in 2023 as determined pursuant to ASC 718. The assumptions used to calculate the value of such awards are set forth under Note 9 of the Notes to the Consolidated Financial Statements included in the Company’s Annual Report on Form 10-K for the year ended December 31, 2023. All option awards were granted on the date of our 2023 annual meeting of stockholders; the grant date fair values of all option awards are based on a per share Black-Scholes value of $46.63 (other than Ms. Poon's initial equity award of nonstaturory stock options, which was granted on July 11, 2023 and for which the Black-Scholes value was $48.86).</w:t>
      </w:r>
    </w:p>
    <w:p>
      <w:pPr>
        <w:spacing w:after="0" w:line="14" w:lineRule="exact"/>
        <w:rPr>
          <w:rFonts w:ascii="Times New Roman" w:cs="Times New Roman" w:eastAsia="Times New Roman" w:hAnsi="Times New Roman"/>
          <w:sz w:val="14"/>
          <w:szCs w:val="14"/>
          <w:color w:val="auto"/>
        </w:rPr>
      </w:pPr>
    </w:p>
    <w:p>
      <w:pPr>
        <w:ind w:left="560" w:hanging="552"/>
        <w:spacing w:after="0"/>
        <w:tabs>
          <w:tab w:leader="none" w:pos="5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represent the full grant date fair value of RSU awards granted in 2023 as determined pursuant to ASC 718.</w:t>
      </w:r>
    </w:p>
    <w:p>
      <w:pPr>
        <w:spacing w:after="0" w:line="41" w:lineRule="exact"/>
        <w:rPr>
          <w:rFonts w:ascii="Times New Roman" w:cs="Times New Roman" w:eastAsia="Times New Roman" w:hAnsi="Times New Roman"/>
          <w:sz w:val="14"/>
          <w:szCs w:val="14"/>
          <w:color w:val="auto"/>
        </w:rPr>
      </w:pPr>
    </w:p>
    <w:p>
      <w:pPr>
        <w:ind w:left="580" w:right="720" w:hanging="572"/>
        <w:spacing w:after="0" w:line="241" w:lineRule="auto"/>
        <w:tabs>
          <w:tab w:leader="none" w:pos="572"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2023, Dr. Gorman was an employee of the Company, and as such, did not receive any compensation for service on the Board of Directors. As of December 31, 2023, Dr. Gorman had outstanding options to purchase 1,401,274 shares of common stock, and 128,891 outstanding RSUs and PRSUs.</w:t>
      </w:r>
    </w:p>
    <w:p>
      <w:pPr>
        <w:spacing w:after="0" w:line="14" w:lineRule="exact"/>
        <w:rPr>
          <w:rFonts w:ascii="Times New Roman" w:cs="Times New Roman" w:eastAsia="Times New Roman" w:hAnsi="Times New Roman"/>
          <w:sz w:val="14"/>
          <w:szCs w:val="14"/>
          <w:color w:val="auto"/>
        </w:rPr>
      </w:pPr>
    </w:p>
    <w:p>
      <w:pPr>
        <w:ind w:left="560" w:hanging="552"/>
        <w:spacing w:after="0"/>
        <w:tabs>
          <w:tab w:leader="none" w:pos="5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Dr. Rastetter had outstanding options to purchase 147,154 shares of common stock.</w:t>
      </w:r>
    </w:p>
    <w:p>
      <w:pPr>
        <w:spacing w:after="0" w:line="41" w:lineRule="exact"/>
        <w:rPr>
          <w:rFonts w:ascii="Times New Roman" w:cs="Times New Roman" w:eastAsia="Times New Roman" w:hAnsi="Times New Roman"/>
          <w:sz w:val="14"/>
          <w:szCs w:val="14"/>
          <w:color w:val="auto"/>
        </w:rPr>
      </w:pPr>
    </w:p>
    <w:p>
      <w:pPr>
        <w:ind w:left="560" w:hanging="552"/>
        <w:spacing w:after="0"/>
        <w:tabs>
          <w:tab w:leader="none" w:pos="5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Mr. Lyons had outstanding options to purchase 106,365 shares of common stock and 2,100 outstanding RSUs.</w:t>
      </w:r>
    </w:p>
    <w:p>
      <w:pPr>
        <w:spacing w:after="0" w:line="28" w:lineRule="exact"/>
        <w:rPr>
          <w:rFonts w:ascii="Times New Roman" w:cs="Times New Roman" w:eastAsia="Times New Roman" w:hAnsi="Times New Roman"/>
          <w:sz w:val="14"/>
          <w:szCs w:val="14"/>
          <w:color w:val="auto"/>
        </w:rPr>
      </w:pPr>
    </w:p>
    <w:p>
      <w:pPr>
        <w:ind w:left="560" w:hanging="552"/>
        <w:spacing w:after="0"/>
        <w:tabs>
          <w:tab w:leader="none" w:pos="5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Ms. Mercier had outstanding options to purchase 40,027 shares of common stock and 2,100 outstanding RSUs.</w:t>
      </w:r>
    </w:p>
    <w:p>
      <w:pPr>
        <w:spacing w:after="0" w:line="41" w:lineRule="exact"/>
        <w:rPr>
          <w:rFonts w:ascii="Times New Roman" w:cs="Times New Roman" w:eastAsia="Times New Roman" w:hAnsi="Times New Roman"/>
          <w:sz w:val="14"/>
          <w:szCs w:val="14"/>
          <w:color w:val="auto"/>
        </w:rPr>
      </w:pPr>
    </w:p>
    <w:p>
      <w:pPr>
        <w:ind w:left="560" w:hanging="552"/>
        <w:spacing w:after="0"/>
        <w:tabs>
          <w:tab w:leader="none" w:pos="5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Mr. Morrow had outstanding options to purchase 117,075 shares of common stock and 4,199 outstanding RSUs.</w:t>
      </w:r>
    </w:p>
    <w:p>
      <w:pPr>
        <w:spacing w:after="0" w:line="41" w:lineRule="exact"/>
        <w:rPr>
          <w:rFonts w:ascii="Times New Roman" w:cs="Times New Roman" w:eastAsia="Times New Roman" w:hAnsi="Times New Roman"/>
          <w:sz w:val="14"/>
          <w:szCs w:val="14"/>
          <w:color w:val="auto"/>
        </w:rPr>
      </w:pPr>
    </w:p>
    <w:p>
      <w:pPr>
        <w:ind w:left="560" w:hanging="552"/>
        <w:spacing w:after="0"/>
        <w:tabs>
          <w:tab w:leader="none" w:pos="5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Ms. Norwalk had outstanding options to purchase 43,865 shares of common stock and 2,100 outstanding RSUs.</w:t>
      </w:r>
    </w:p>
    <w:p>
      <w:pPr>
        <w:spacing w:after="0" w:line="28" w:lineRule="exact"/>
        <w:rPr>
          <w:rFonts w:ascii="Times New Roman" w:cs="Times New Roman" w:eastAsia="Times New Roman" w:hAnsi="Times New Roman"/>
          <w:sz w:val="14"/>
          <w:szCs w:val="14"/>
          <w:color w:val="auto"/>
        </w:rPr>
      </w:pPr>
    </w:p>
    <w:p>
      <w:pPr>
        <w:ind w:left="580" w:hanging="572"/>
        <w:spacing w:after="0"/>
        <w:tabs>
          <w:tab w:leader="none" w:pos="5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Ms. Poon had outstanding options to purchase 16,375 shares of common stock.</w:t>
      </w:r>
    </w:p>
    <w:p>
      <w:pPr>
        <w:spacing w:after="0" w:line="41" w:lineRule="exact"/>
        <w:rPr>
          <w:rFonts w:ascii="Times New Roman" w:cs="Times New Roman" w:eastAsia="Times New Roman" w:hAnsi="Times New Roman"/>
          <w:sz w:val="14"/>
          <w:szCs w:val="14"/>
          <w:color w:val="auto"/>
        </w:rPr>
      </w:pPr>
    </w:p>
    <w:p>
      <w:pPr>
        <w:ind w:left="560" w:hanging="552"/>
        <w:spacing w:after="0"/>
        <w:tabs>
          <w:tab w:leader="none" w:pos="5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Mr. Pops had outstanding options to purchase 117,075 shares of common stock and 4,199 outstanding RSUs.</w:t>
      </w:r>
    </w:p>
    <w:p>
      <w:pPr>
        <w:spacing w:after="0" w:line="41" w:lineRule="exact"/>
        <w:rPr>
          <w:rFonts w:ascii="Times New Roman" w:cs="Times New Roman" w:eastAsia="Times New Roman" w:hAnsi="Times New Roman"/>
          <w:sz w:val="14"/>
          <w:szCs w:val="14"/>
          <w:color w:val="auto"/>
        </w:rPr>
      </w:pPr>
    </w:p>
    <w:p>
      <w:pPr>
        <w:ind w:left="580" w:hanging="572"/>
        <w:spacing w:after="0"/>
        <w:tabs>
          <w:tab w:leader="none" w:pos="5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Ms. Sharp had outstanding options to purchase 37,847 shares of common stock and 2,100 outstanding RSUs.</w:t>
      </w:r>
    </w:p>
    <w:p>
      <w:pPr>
        <w:spacing w:after="0" w:line="28" w:lineRule="exact"/>
        <w:rPr>
          <w:rFonts w:ascii="Times New Roman" w:cs="Times New Roman" w:eastAsia="Times New Roman" w:hAnsi="Times New Roman"/>
          <w:sz w:val="14"/>
          <w:szCs w:val="14"/>
          <w:color w:val="auto"/>
        </w:rPr>
      </w:pPr>
    </w:p>
    <w:p>
      <w:pPr>
        <w:ind w:left="580" w:hanging="572"/>
        <w:spacing w:after="0"/>
        <w:tabs>
          <w:tab w:leader="none" w:pos="5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Dr. Sherwin had outstanding options to purchase 102,075 shares of common stock and 4,199 outstanding RSUs.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for 2024</w:t>
      </w:r>
    </w:p>
    <w:p>
      <w:pPr>
        <w:spacing w:after="0" w:line="2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2024, on the recommendation of the Compensation Committee and based on a review of our peer group companies and analysis performed by</w:t>
      </w:r>
    </w:p>
    <w:p>
      <w:pPr>
        <w:spacing w:after="0" w:line="2" w:lineRule="exact"/>
        <w:rPr>
          <w:sz w:val="20"/>
          <w:szCs w:val="20"/>
          <w:color w:val="auto"/>
        </w:rPr>
      </w:pPr>
    </w:p>
    <w:p>
      <w:pPr>
        <w:ind w:right="260"/>
        <w:spacing w:after="0" w:line="220" w:lineRule="auto"/>
        <w:rPr>
          <w:sz w:val="20"/>
          <w:szCs w:val="20"/>
          <w:color w:val="auto"/>
        </w:rPr>
      </w:pPr>
      <w:r>
        <w:rPr>
          <w:rFonts w:ascii="Times New Roman" w:cs="Times New Roman" w:eastAsia="Times New Roman" w:hAnsi="Times New Roman"/>
          <w:sz w:val="17"/>
          <w:szCs w:val="17"/>
          <w:color w:val="auto"/>
        </w:rPr>
        <w:t>FW Cook, the Board increased the annual retainer for the Chair of the Nominating / Corporate Governance Committee by $3,000 to a total of $18,000 annually and the annual retainer for other members of the Nominating / Corporate Governance Committee by $1,500 to a total of $9,000 annually. Additionally, in connection with the formation of the Science and Medical Technology Committee in January 2024, the Board approved annual retainers</w:t>
      </w:r>
    </w:p>
    <w:p>
      <w:pPr>
        <w:spacing w:after="0" w:line="2" w:lineRule="exact"/>
        <w:rPr>
          <w:sz w:val="20"/>
          <w:szCs w:val="20"/>
          <w:color w:val="auto"/>
        </w:rPr>
      </w:pPr>
    </w:p>
    <w:p>
      <w:pPr>
        <w:ind w:right="560"/>
        <w:spacing w:after="0" w:line="226" w:lineRule="auto"/>
        <w:rPr>
          <w:sz w:val="20"/>
          <w:szCs w:val="20"/>
          <w:color w:val="auto"/>
        </w:rPr>
      </w:pPr>
      <w:r>
        <w:rPr>
          <w:rFonts w:ascii="Times New Roman" w:cs="Times New Roman" w:eastAsia="Times New Roman" w:hAnsi="Times New Roman"/>
          <w:sz w:val="18"/>
          <w:szCs w:val="18"/>
          <w:color w:val="auto"/>
        </w:rPr>
        <w:t>for the Chair and non-chair members of $20,000 and $10,000, respectively. The Board maintained all equity compensation and all other annual cash retainers for non-employee directors at the 2023 levels.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Equity Ownership Guidelines</w:t>
      </w:r>
    </w:p>
    <w:p>
      <w:pPr>
        <w:spacing w:after="0" w:line="202" w:lineRule="exact"/>
        <w:rPr>
          <w:sz w:val="20"/>
          <w:szCs w:val="20"/>
          <w:color w:val="auto"/>
        </w:rPr>
      </w:pPr>
    </w:p>
    <w:p>
      <w:pPr>
        <w:jc w:val="both"/>
        <w:ind w:right="20" w:firstLine="551"/>
        <w:spacing w:after="0" w:line="216" w:lineRule="auto"/>
        <w:rPr>
          <w:sz w:val="20"/>
          <w:szCs w:val="20"/>
          <w:color w:val="auto"/>
        </w:rPr>
      </w:pPr>
      <w:r>
        <w:rPr>
          <w:rFonts w:ascii="Times New Roman" w:cs="Times New Roman" w:eastAsia="Times New Roman" w:hAnsi="Times New Roman"/>
          <w:sz w:val="18"/>
          <w:szCs w:val="18"/>
          <w:color w:val="auto"/>
        </w:rPr>
        <w:t>The Board of Directors has adopted equity ownership guidelines for our non-employee directors, which are designed to further align the interests of the non-employee directors with those of our stockholders by ensuring that our non-employee directors have a significant financial stake in the Company’s long-term success. The equity ownership guidelines establish a minimum equity ownership equal to three times the cash retainer paid to the non-employee</w:t>
      </w:r>
    </w:p>
    <w:p>
      <w:pPr>
        <w:spacing w:after="0" w:line="1" w:lineRule="exact"/>
        <w:rPr>
          <w:sz w:val="20"/>
          <w:szCs w:val="20"/>
          <w:color w:val="auto"/>
        </w:rPr>
      </w:pPr>
    </w:p>
    <w:p>
      <w:pPr>
        <w:jc w:val="both"/>
        <w:ind w:right="80"/>
        <w:spacing w:after="0" w:line="220" w:lineRule="auto"/>
        <w:rPr>
          <w:sz w:val="20"/>
          <w:szCs w:val="20"/>
          <w:color w:val="auto"/>
        </w:rPr>
      </w:pPr>
      <w:r>
        <w:rPr>
          <w:rFonts w:ascii="Times New Roman" w:cs="Times New Roman" w:eastAsia="Times New Roman" w:hAnsi="Times New Roman"/>
          <w:sz w:val="17"/>
          <w:szCs w:val="17"/>
          <w:color w:val="auto"/>
        </w:rPr>
        <w:t>director, with such values determined based on the value of our common stock owned by such persons as of certain measurement dates. All shares directly or beneficially owned by the non-employee director, including the net exercisable value of outstanding vested stock options (where the market price of our common stock exceeds the strike price of such option) are included in determining the value of equity owned under our equity ownership guidelines. New</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non-employee directors are granted a five-year period to reach the equity ownership requirements set forth in the guidelines and are expected to make annual progress toward the equity ownership requirements during this five-year period. When a non-employee director does not meet the equity ownership requirements set forth in the guidelines, he/she is restricted from selling any held shares until such requirements are met. Additionally, should non-</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employee director who does not meet the equity ownership requirements choose to exercise a stock option or vest in any RSUs, he or she is required to retain all shares acquired through those transactions, aside from any shares necessary to fulfill such transaction related tax obligations, until full compliance with the equity ownership guidelines is attained.</w:t>
      </w:r>
    </w:p>
    <w:p>
      <w:pPr>
        <w:spacing w:after="0" w:line="172" w:lineRule="exact"/>
        <w:rPr>
          <w:sz w:val="20"/>
          <w:szCs w:val="20"/>
          <w:color w:val="auto"/>
        </w:rPr>
      </w:pPr>
    </w:p>
    <w:p>
      <w:pPr>
        <w:ind w:right="200" w:firstLine="551"/>
        <w:spacing w:after="0" w:line="237" w:lineRule="auto"/>
        <w:rPr>
          <w:sz w:val="20"/>
          <w:szCs w:val="20"/>
          <w:color w:val="auto"/>
        </w:rPr>
      </w:pPr>
      <w:r>
        <w:rPr>
          <w:rFonts w:ascii="Times New Roman" w:cs="Times New Roman" w:eastAsia="Times New Roman" w:hAnsi="Times New Roman"/>
          <w:sz w:val="18"/>
          <w:szCs w:val="18"/>
          <w:color w:val="auto"/>
        </w:rPr>
        <w:t>Annual compliance with the equity ownership guidelines is assessed during the first quarter of each year. As of March 25, 2024, each of our non-employee directors was in compliance with the equity ownership guidelines.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Executive officers of the Company serve at the discretion of the Board of Directors. There are no family relationships among any of the directors,</w:t>
      </w:r>
    </w:p>
    <w:p>
      <w:pPr>
        <w:spacing w:after="0" w:line="2" w:lineRule="exact"/>
        <w:rPr>
          <w:sz w:val="20"/>
          <w:szCs w:val="20"/>
          <w:color w:val="auto"/>
        </w:rPr>
      </w:pPr>
    </w:p>
    <w:p>
      <w:pPr>
        <w:ind w:right="660"/>
        <w:spacing w:after="0" w:line="226" w:lineRule="auto"/>
        <w:rPr>
          <w:sz w:val="20"/>
          <w:szCs w:val="20"/>
          <w:color w:val="auto"/>
        </w:rPr>
      </w:pPr>
      <w:r>
        <w:rPr>
          <w:rFonts w:ascii="Times New Roman" w:cs="Times New Roman" w:eastAsia="Times New Roman" w:hAnsi="Times New Roman"/>
          <w:sz w:val="18"/>
          <w:szCs w:val="18"/>
          <w:color w:val="auto"/>
        </w:rPr>
        <w:t>executive officers or key employees of the Company. None of our directors or executive officers has been involved in any of the legal proceedings specified in Item 401(f) of Regulation S-K in the past 10 years.</w:t>
      </w:r>
    </w:p>
    <w:p>
      <w:pPr>
        <w:spacing w:after="0" w:line="15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RELATED PERSON TRANSACTIONS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Approval or Ratification of Related Person Transactions</w:t>
      </w:r>
    </w:p>
    <w:p>
      <w:pPr>
        <w:spacing w:after="0" w:line="189" w:lineRule="exact"/>
        <w:rPr>
          <w:sz w:val="20"/>
          <w:szCs w:val="20"/>
          <w:color w:val="auto"/>
        </w:rPr>
      </w:pPr>
    </w:p>
    <w:p>
      <w:pPr>
        <w:ind w:right="80" w:firstLine="551"/>
        <w:spacing w:after="0" w:line="236" w:lineRule="auto"/>
        <w:rPr>
          <w:sz w:val="20"/>
          <w:szCs w:val="20"/>
          <w:color w:val="auto"/>
        </w:rPr>
      </w:pPr>
      <w:r>
        <w:rPr>
          <w:rFonts w:ascii="Times New Roman" w:cs="Times New Roman" w:eastAsia="Times New Roman" w:hAnsi="Times New Roman"/>
          <w:sz w:val="17"/>
          <w:szCs w:val="17"/>
          <w:color w:val="auto"/>
        </w:rPr>
        <w:t>In accordance with the Company’s Audit Committee Charter, the Company’s Audit Committee is responsible for reviewing and approving the terms and conditions of all related person transactions. In connection with its review, approval or ratification of related person transactions, the Company’s</w:t>
      </w:r>
    </w:p>
    <w:p>
      <w:pPr>
        <w:jc w:val="both"/>
        <w:ind w:right="320"/>
        <w:spacing w:after="0" w:line="208" w:lineRule="auto"/>
        <w:rPr>
          <w:sz w:val="20"/>
          <w:szCs w:val="20"/>
          <w:color w:val="auto"/>
        </w:rPr>
      </w:pPr>
      <w:r>
        <w:rPr>
          <w:rFonts w:ascii="Times New Roman" w:cs="Times New Roman" w:eastAsia="Times New Roman" w:hAnsi="Times New Roman"/>
          <w:sz w:val="18"/>
          <w:szCs w:val="18"/>
          <w:color w:val="auto"/>
        </w:rPr>
        <w:t>Audit Committee takes into account all relevant available facts and circumstances in determining whether such transaction is in the best interests of the Company and its stockholders. Any transaction that would disqualify a director from meeting the “independent director” standard as defined under the Nasdaq Stock Market rules requires review by the Company’s Audit Committee prior to entering into such transaction. For all other related person</w:t>
      </w:r>
    </w:p>
    <w:p>
      <w:pPr>
        <w:spacing w:after="0" w:line="2" w:lineRule="exact"/>
        <w:rPr>
          <w:sz w:val="20"/>
          <w:szCs w:val="20"/>
          <w:color w:val="auto"/>
        </w:rPr>
      </w:pPr>
    </w:p>
    <w:p>
      <w:pPr>
        <w:ind w:right="680"/>
        <w:spacing w:after="0" w:line="218" w:lineRule="auto"/>
        <w:rPr>
          <w:sz w:val="20"/>
          <w:szCs w:val="20"/>
          <w:color w:val="auto"/>
        </w:rPr>
      </w:pPr>
      <w:r>
        <w:rPr>
          <w:rFonts w:ascii="Times New Roman" w:cs="Times New Roman" w:eastAsia="Times New Roman" w:hAnsi="Times New Roman"/>
          <w:sz w:val="18"/>
          <w:szCs w:val="18"/>
          <w:color w:val="auto"/>
        </w:rPr>
        <w:t>transactions, the Company reviews all agreements and payments for related person transactions and based on this review, a report is made to the Company’s Audit Committee quarterly disclosing all related person transactions during that quarter, if any. All related person transactions shall be disclosed in the Company’s applicable filings with the SEC as required under SEC rules.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were no related person transactions during fiscal 2023.</w:t>
      </w:r>
    </w:p>
    <w:p>
      <w:pPr>
        <w:spacing w:after="0" w:line="18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the date of this Proxy Statement, the Company knows of no other matters to be submitted to the stockholders at the Annual Meeting. If any</w:t>
      </w:r>
    </w:p>
    <w:p>
      <w:pPr>
        <w:spacing w:after="0" w:line="2"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other matters properly come before the Annual Meeting, it is the intention of the persons named in the proxy to vote the shares they represent as the Board of Directors may recommend.</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98" w:lineRule="exact"/>
        <w:rPr>
          <w:sz w:val="20"/>
          <w:szCs w:val="20"/>
          <w:color w:val="auto"/>
        </w:rPr>
      </w:pPr>
    </w:p>
    <w:p>
      <w:pPr>
        <w:ind w:right="180" w:firstLine="551"/>
        <w:spacing w:after="0" w:line="217"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“Householding” of Proxy Materials. </w:t>
      </w:r>
      <w:r>
        <w:rPr>
          <w:rFonts w:ascii="Times New Roman" w:cs="Times New Roman" w:eastAsia="Times New Roman" w:hAnsi="Times New Roman"/>
          <w:sz w:val="18"/>
          <w:szCs w:val="18"/>
          <w:color w:val="auto"/>
        </w:rPr>
        <w:t>The SEC has adopted rules that permit companies and intermediaries such as brokers to satisfy delivery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for proxy statements with respect to two or more stockholders sharing the same address by delivering a single set of proxy materials addressed to those stockholders. This process, which is commonly referred to as “householding,” potentially provides extra convenience for stockholders</w:t>
      </w:r>
    </w:p>
    <w:p>
      <w:pPr>
        <w:spacing w:after="0" w:line="3"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and cost savings for companies. The Company, as well as certain brokers, household proxy materials, unless contrary instructions have been received from the affected stockholders. Once you have received notice from your broker or us that they or we will be householding materials to your address, householding will continue until you are notified otherwise or until you revoke your consent. If, at any time, you no longer wish to participate in</w:t>
      </w:r>
    </w:p>
    <w:p>
      <w:pPr>
        <w:spacing w:after="0" w:line="2" w:lineRule="exact"/>
        <w:rPr>
          <w:sz w:val="20"/>
          <w:szCs w:val="20"/>
          <w:color w:val="auto"/>
        </w:rPr>
      </w:pPr>
    </w:p>
    <w:p>
      <w:pPr>
        <w:ind w:right="80"/>
        <w:spacing w:after="0" w:line="218" w:lineRule="auto"/>
        <w:rPr>
          <w:sz w:val="20"/>
          <w:szCs w:val="20"/>
          <w:color w:val="auto"/>
        </w:rPr>
      </w:pPr>
      <w:r>
        <w:rPr>
          <w:rFonts w:ascii="Times New Roman" w:cs="Times New Roman" w:eastAsia="Times New Roman" w:hAnsi="Times New Roman"/>
          <w:sz w:val="18"/>
          <w:szCs w:val="18"/>
          <w:color w:val="auto"/>
        </w:rPr>
        <w:t>householding and would prefer to receive a separate set of proxy materials, please notify your broker if your shares are held in a brokerage account or us if you hold registered shares. If you hold registered shares, you may direct your written request to the Company’s Corporate Secretary at 12780 El Camino Real, San Diego, California 92130 or contact the Company’s Corporate Secretary at 858-617-7600.</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Back to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Advance Notice Procedures. </w:t>
      </w:r>
      <w:r>
        <w:rPr>
          <w:rFonts w:ascii="Times New Roman" w:cs="Times New Roman" w:eastAsia="Times New Roman" w:hAnsi="Times New Roman"/>
          <w:sz w:val="18"/>
          <w:szCs w:val="18"/>
          <w:color w:val="auto"/>
        </w:rPr>
        <w:t>To be considered for inclusion in next year’s proxy materials, a stockholder must submit his, her or its proposal or</w:t>
      </w:r>
    </w:p>
    <w:p>
      <w:pPr>
        <w:spacing w:after="0" w:line="6" w:lineRule="exact"/>
        <w:rPr>
          <w:sz w:val="20"/>
          <w:szCs w:val="20"/>
          <w:color w:val="auto"/>
        </w:rPr>
      </w:pPr>
    </w:p>
    <w:p>
      <w:pPr>
        <w:ind w:right="260"/>
        <w:spacing w:after="0" w:line="208" w:lineRule="auto"/>
        <w:rPr>
          <w:sz w:val="20"/>
          <w:szCs w:val="20"/>
          <w:color w:val="auto"/>
        </w:rPr>
      </w:pPr>
      <w:r>
        <w:rPr>
          <w:rFonts w:ascii="Times New Roman" w:cs="Times New Roman" w:eastAsia="Times New Roman" w:hAnsi="Times New Roman"/>
          <w:sz w:val="18"/>
          <w:szCs w:val="18"/>
          <w:color w:val="auto"/>
        </w:rPr>
        <w:t>director nomination in writing by December 11, 2024 which is the date that is 120 days prior to the first anniversary of the mailing date of this Proxy Statement, to the Company’s Corporate Secretary at 12780 El Camino Real, San Diego, California 92130. Any proposal must comply with the requirements as to form and substance established by the SEC for such proposal to be included in our Proxy Statement. Stockholders are also advised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review our bylaws, which contain additional requirements for advance notice of stockholder proposals and director nominations.</w:t>
      </w:r>
    </w:p>
    <w:p>
      <w:pPr>
        <w:spacing w:after="0" w:line="165" w:lineRule="exact"/>
        <w:rPr>
          <w:sz w:val="20"/>
          <w:szCs w:val="20"/>
          <w:color w:val="auto"/>
        </w:rPr>
      </w:pPr>
    </w:p>
    <w:p>
      <w:pPr>
        <w:ind w:firstLine="551"/>
        <w:spacing w:after="0" w:line="222" w:lineRule="auto"/>
        <w:rPr>
          <w:sz w:val="20"/>
          <w:szCs w:val="20"/>
          <w:color w:val="auto"/>
        </w:rPr>
      </w:pPr>
      <w:r>
        <w:rPr>
          <w:rFonts w:ascii="Times New Roman" w:cs="Times New Roman" w:eastAsia="Times New Roman" w:hAnsi="Times New Roman"/>
          <w:sz w:val="18"/>
          <w:szCs w:val="18"/>
          <w:color w:val="auto"/>
        </w:rPr>
        <w:t>In addition, our bylaws contain “proxy access” provisions that permit a stockholder or group of stockholders to include director candidates that they intend to nominate in our annual meeting proxy statement and on our proxy card, provided that the stockholder ownership, notice and other requirements</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set forth in our bylaws are satisfied. To be timely for our 2025 Annual Meeting of Stockholders, the required notice under the proxy access provisions of our bylaws must be received by the Company’s Corporate Secretary at 12780 El Camino Real, San Diego, California 92130 not earlier than November 11, 2024 and not later than the close of business on December 11, 2024. However, if our 2025 Annual Meeting of Stockholders is held more than 30 days prior</w:t>
      </w:r>
    </w:p>
    <w:p>
      <w:pPr>
        <w:spacing w:after="0" w:line="2" w:lineRule="exact"/>
        <w:rPr>
          <w:sz w:val="20"/>
          <w:szCs w:val="20"/>
          <w:color w:val="auto"/>
        </w:rPr>
      </w:pPr>
    </w:p>
    <w:p>
      <w:pPr>
        <w:ind w:right="200"/>
        <w:spacing w:after="0" w:line="218" w:lineRule="auto"/>
        <w:rPr>
          <w:sz w:val="20"/>
          <w:szCs w:val="20"/>
          <w:color w:val="auto"/>
        </w:rPr>
      </w:pPr>
      <w:r>
        <w:rPr>
          <w:rFonts w:ascii="Times New Roman" w:cs="Times New Roman" w:eastAsia="Times New Roman" w:hAnsi="Times New Roman"/>
          <w:sz w:val="18"/>
          <w:szCs w:val="18"/>
          <w:color w:val="auto"/>
        </w:rPr>
        <w:t>to or more than 60 days after the anniversary of the Annual Meeting, then notice under the proxy access provisions must be received no earlier than the close of business on the 150th day prior to the 2025 Annual Meeting of Stockholders and not later than the close of business on the later of the 120th day prior to such annual meeting or the 10th day following the day on which public announcement of the date of such annual meeting is first made.</w:t>
      </w:r>
    </w:p>
    <w:p>
      <w:pPr>
        <w:spacing w:after="0" w:line="172" w:lineRule="exact"/>
        <w:rPr>
          <w:sz w:val="20"/>
          <w:szCs w:val="20"/>
          <w:color w:val="auto"/>
        </w:rPr>
      </w:pPr>
    </w:p>
    <w:p>
      <w:pPr>
        <w:ind w:right="320" w:firstLine="551"/>
        <w:spacing w:after="0" w:line="239" w:lineRule="auto"/>
        <w:rPr>
          <w:sz w:val="20"/>
          <w:szCs w:val="20"/>
          <w:color w:val="auto"/>
        </w:rPr>
      </w:pPr>
      <w:r>
        <w:rPr>
          <w:rFonts w:ascii="Times New Roman" w:cs="Times New Roman" w:eastAsia="Times New Roman" w:hAnsi="Times New Roman"/>
          <w:sz w:val="17"/>
          <w:szCs w:val="17"/>
          <w:color w:val="auto"/>
        </w:rPr>
        <w:t>On or around April 7, 2024, the Company intends to relocate its principal executive offices to 6027 Edgewood Bend Ct., San Diego, California, 92130. However, the Company's mailing address will remain 12780 El Camino Real, San Diego, California 92130, through March 2025. Accordingly, written requests, notices and proposals should be sent to the Company's Corporate Secretary at 12780 El Camino Real, San Diego, California 92130.</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02" w:lineRule="exact"/>
        <w:rPr>
          <w:sz w:val="20"/>
          <w:szCs w:val="20"/>
          <w:color w:val="auto"/>
        </w:rPr>
      </w:pPr>
    </w:p>
    <w:p>
      <w:pPr>
        <w:ind w:right="220" w:firstLine="551"/>
        <w:spacing w:after="0" w:line="216" w:lineRule="auto"/>
        <w:rPr>
          <w:sz w:val="20"/>
          <w:szCs w:val="20"/>
          <w:color w:val="auto"/>
        </w:rPr>
      </w:pPr>
      <w:r>
        <w:rPr>
          <w:rFonts w:ascii="Times New Roman" w:cs="Times New Roman" w:eastAsia="Times New Roman" w:hAnsi="Times New Roman"/>
          <w:sz w:val="18"/>
          <w:szCs w:val="18"/>
          <w:color w:val="auto"/>
        </w:rPr>
        <w:t>This Proxy Statement and other materials we are sending you or that are available on our website in connection with the Annual Meeting contain “forward-looking statements” as defined under federal securities laws. Many of these statements can be identified by the use of terminology such as “believes,” “expects,” “intends,” “anticipates,” “plans,” “may,” “will,” “projects,” “continues,” “estimates,” “potential,” “opportunity” or the negative</w:t>
      </w:r>
    </w:p>
    <w:p>
      <w:pPr>
        <w:spacing w:after="0" w:line="1"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versions of these terms and other similar expressions. These forward-looking statements may be found in the sections of this Proxy Statement titled “Proxy Summary,” “Compensation Discussion and Analysis,” and other sections of this Proxy Statement. These forward-looking statements are based on our current expectations and assumptions, and are subject to risks and uncertainties that could cause our actual results or experience and the timing of events to</w:t>
      </w:r>
    </w:p>
    <w:p>
      <w:pPr>
        <w:spacing w:after="0" w:line="2" w:lineRule="exact"/>
        <w:rPr>
          <w:sz w:val="20"/>
          <w:szCs w:val="20"/>
          <w:color w:val="auto"/>
        </w:rPr>
      </w:pPr>
    </w:p>
    <w:p>
      <w:pPr>
        <w:ind w:right="380"/>
        <w:spacing w:after="0" w:line="220" w:lineRule="auto"/>
        <w:rPr>
          <w:sz w:val="20"/>
          <w:szCs w:val="20"/>
          <w:color w:val="auto"/>
        </w:rPr>
      </w:pPr>
      <w:r>
        <w:rPr>
          <w:rFonts w:ascii="Times New Roman" w:cs="Times New Roman" w:eastAsia="Times New Roman" w:hAnsi="Times New Roman"/>
          <w:sz w:val="17"/>
          <w:szCs w:val="17"/>
          <w:color w:val="auto"/>
        </w:rPr>
        <w:t>differ significantly from the forward-looking statements. Factors that could cause or contribute to these differences include those discussed in the Company’s Annual Report on Form 10-K for the year ended December 31, 2023, as filed with the SEC on February 9, 2024 under “Risk Factors,” “Management’s Discussion and Analysis of Financial Condition and Results of Operations” and elsewhere in the Annual Report. You should carefully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 that information before voting.</w:t>
      </w:r>
    </w:p>
    <w:p>
      <w:pPr>
        <w:spacing w:after="0" w:line="165" w:lineRule="exact"/>
        <w:rPr>
          <w:sz w:val="20"/>
          <w:szCs w:val="20"/>
          <w:color w:val="auto"/>
        </w:rPr>
      </w:pPr>
    </w:p>
    <w:p>
      <w:pPr>
        <w:ind w:right="100" w:firstLine="551"/>
        <w:spacing w:after="0" w:line="236" w:lineRule="auto"/>
        <w:rPr>
          <w:sz w:val="20"/>
          <w:szCs w:val="20"/>
          <w:color w:val="auto"/>
        </w:rPr>
      </w:pPr>
      <w:r>
        <w:rPr>
          <w:rFonts w:ascii="Times New Roman" w:cs="Times New Roman" w:eastAsia="Times New Roman" w:hAnsi="Times New Roman"/>
          <w:sz w:val="17"/>
          <w:szCs w:val="17"/>
          <w:color w:val="auto"/>
        </w:rPr>
        <w:t>You should not place undue reliance on these statements, which speak only as of the date that they were made. These cautionary statements should be considered in connection with any written or oral forward-looking statements that we may make in the future. We do not undertake any obligation to</w:t>
      </w:r>
    </w:p>
    <w:p>
      <w:pPr>
        <w:ind w:right="440"/>
        <w:spacing w:after="0" w:line="226" w:lineRule="auto"/>
        <w:rPr>
          <w:sz w:val="20"/>
          <w:szCs w:val="20"/>
          <w:color w:val="auto"/>
        </w:rPr>
      </w:pPr>
      <w:r>
        <w:rPr>
          <w:rFonts w:ascii="Times New Roman" w:cs="Times New Roman" w:eastAsia="Times New Roman" w:hAnsi="Times New Roman"/>
          <w:sz w:val="18"/>
          <w:szCs w:val="18"/>
          <w:color w:val="auto"/>
        </w:rPr>
        <w:t>release publicly any revisions to these forward-looking statements to reflect later events or circumstances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9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3"/>
          <w:szCs w:val="13"/>
          <w:b w:val="1"/>
          <w:bCs w:val="1"/>
          <w:color w:val="auto"/>
        </w:rPr>
        <w:t>EUROCRINE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3"/>
          <w:szCs w:val="13"/>
          <w:b w:val="1"/>
          <w:bCs w:val="1"/>
          <w:color w:val="auto"/>
        </w:rPr>
        <w:t>IOSCIENCES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18"/>
          <w:szCs w:val="18"/>
          <w:b w:val="1"/>
          <w:bCs w:val="1"/>
          <w:color w:val="auto"/>
        </w:rPr>
        <w:t>.</w:t>
      </w:r>
    </w:p>
    <w:p>
      <w:pPr>
        <w:ind w:left="3380"/>
        <w:spacing w:after="0"/>
        <w:rPr>
          <w:sz w:val="20"/>
          <w:szCs w:val="20"/>
          <w:color w:val="auto"/>
        </w:rPr>
      </w:pPr>
      <w:r>
        <w:rPr>
          <w:rFonts w:ascii="Times New Roman" w:cs="Times New Roman" w:eastAsia="Times New Roman" w:hAnsi="Times New Roman"/>
          <w:sz w:val="18"/>
          <w:szCs w:val="18"/>
          <w:b w:val="1"/>
          <w:bCs w:val="1"/>
          <w:color w:val="auto"/>
        </w:rPr>
        <w:t>2020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16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DOPTED BY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OMPENSATION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OMMITTEE</w:t>
      </w:r>
      <w:r>
        <w:rPr>
          <w:rFonts w:ascii="Times New Roman" w:cs="Times New Roman" w:eastAsia="Times New Roman" w:hAnsi="Times New Roman"/>
          <w:sz w:val="18"/>
          <w:szCs w:val="18"/>
          <w:b w:val="1"/>
          <w:bCs w:val="1"/>
          <w:color w:val="auto"/>
        </w:rPr>
        <w:t>: M</w:t>
      </w:r>
      <w:r>
        <w:rPr>
          <w:rFonts w:ascii="Times New Roman" w:cs="Times New Roman" w:eastAsia="Times New Roman" w:hAnsi="Times New Roman"/>
          <w:sz w:val="13"/>
          <w:szCs w:val="13"/>
          <w:b w:val="1"/>
          <w:bCs w:val="1"/>
          <w:color w:val="auto"/>
        </w:rPr>
        <w:t>ARCH</w:t>
      </w:r>
      <w:r>
        <w:rPr>
          <w:rFonts w:ascii="Times New Roman" w:cs="Times New Roman" w:eastAsia="Times New Roman" w:hAnsi="Times New Roman"/>
          <w:sz w:val="18"/>
          <w:szCs w:val="18"/>
          <w:b w:val="1"/>
          <w:bCs w:val="1"/>
          <w:color w:val="auto"/>
        </w:rPr>
        <w:t xml:space="preserve"> 16, 2020</w:t>
      </w:r>
    </w:p>
    <w:p>
      <w:pPr>
        <w:ind w:left="2660"/>
        <w:spacing w:after="0" w:line="210"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TOCKHOLDERS</w:t>
      </w:r>
      <w:r>
        <w:rPr>
          <w:rFonts w:ascii="Times New Roman" w:cs="Times New Roman" w:eastAsia="Times New Roman" w:hAnsi="Times New Roman"/>
          <w:sz w:val="18"/>
          <w:szCs w:val="18"/>
          <w:b w:val="1"/>
          <w:bCs w:val="1"/>
          <w:color w:val="auto"/>
        </w:rPr>
        <w:t>: M</w:t>
      </w:r>
      <w:r>
        <w:rPr>
          <w:rFonts w:ascii="Times New Roman" w:cs="Times New Roman" w:eastAsia="Times New Roman" w:hAnsi="Times New Roman"/>
          <w:sz w:val="13"/>
          <w:szCs w:val="13"/>
          <w:b w:val="1"/>
          <w:bCs w:val="1"/>
          <w:color w:val="auto"/>
        </w:rPr>
        <w:t>AY</w:t>
      </w:r>
      <w:r>
        <w:rPr>
          <w:rFonts w:ascii="Times New Roman" w:cs="Times New Roman" w:eastAsia="Times New Roman" w:hAnsi="Times New Roman"/>
          <w:sz w:val="18"/>
          <w:szCs w:val="18"/>
          <w:b w:val="1"/>
          <w:bCs w:val="1"/>
          <w:color w:val="auto"/>
        </w:rPr>
        <w:t xml:space="preserve"> 19, 2020</w:t>
      </w:r>
    </w:p>
    <w:p>
      <w:pPr>
        <w:jc w:val="center"/>
        <w:ind w:right="1100"/>
        <w:spacing w:after="0" w:line="203"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ESTATED BY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OMPENSATION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OMMITTEE</w:t>
      </w:r>
      <w:r>
        <w:rPr>
          <w:rFonts w:ascii="Times New Roman" w:cs="Times New Roman" w:eastAsia="Times New Roman" w:hAnsi="Times New Roman"/>
          <w:sz w:val="18"/>
          <w:szCs w:val="18"/>
          <w:b w:val="1"/>
          <w:bCs w:val="1"/>
          <w:color w:val="auto"/>
        </w:rPr>
        <w:t>: M</w:t>
      </w:r>
      <w:r>
        <w:rPr>
          <w:rFonts w:ascii="Times New Roman" w:cs="Times New Roman" w:eastAsia="Times New Roman" w:hAnsi="Times New Roman"/>
          <w:sz w:val="13"/>
          <w:szCs w:val="13"/>
          <w:b w:val="1"/>
          <w:bCs w:val="1"/>
          <w:color w:val="auto"/>
        </w:rPr>
        <w:t>ARCH</w:t>
      </w:r>
      <w:r>
        <w:rPr>
          <w:rFonts w:ascii="Times New Roman" w:cs="Times New Roman" w:eastAsia="Times New Roman" w:hAnsi="Times New Roman"/>
          <w:sz w:val="18"/>
          <w:szCs w:val="18"/>
          <w:b w:val="1"/>
          <w:bCs w:val="1"/>
          <w:color w:val="auto"/>
        </w:rPr>
        <w:t xml:space="preserve"> 14, 2022</w:t>
      </w:r>
    </w:p>
    <w:p>
      <w:pPr>
        <w:spacing w:after="0" w:line="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TOCKHOLDERS</w:t>
      </w:r>
      <w:r>
        <w:rPr>
          <w:rFonts w:ascii="Times New Roman" w:cs="Times New Roman" w:eastAsia="Times New Roman" w:hAnsi="Times New Roman"/>
          <w:sz w:val="18"/>
          <w:szCs w:val="18"/>
          <w:b w:val="1"/>
          <w:bCs w:val="1"/>
          <w:color w:val="auto"/>
        </w:rPr>
        <w:t>: M</w:t>
      </w:r>
      <w:r>
        <w:rPr>
          <w:rFonts w:ascii="Times New Roman" w:cs="Times New Roman" w:eastAsia="Times New Roman" w:hAnsi="Times New Roman"/>
          <w:sz w:val="13"/>
          <w:szCs w:val="13"/>
          <w:b w:val="1"/>
          <w:bCs w:val="1"/>
          <w:color w:val="auto"/>
        </w:rPr>
        <w:t>AY</w:t>
      </w:r>
      <w:r>
        <w:rPr>
          <w:rFonts w:ascii="Times New Roman" w:cs="Times New Roman" w:eastAsia="Times New Roman" w:hAnsi="Times New Roman"/>
          <w:sz w:val="18"/>
          <w:szCs w:val="18"/>
          <w:b w:val="1"/>
          <w:bCs w:val="1"/>
          <w:color w:val="auto"/>
        </w:rPr>
        <w:t xml:space="preserve"> 18, 2022</w:t>
      </w:r>
    </w:p>
    <w:p>
      <w:pPr>
        <w:spacing w:after="0" w:line="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ESTATED BY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OMPENSATION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OMMITTEE</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3"/>
          <w:szCs w:val="13"/>
          <w:b w:val="1"/>
          <w:bCs w:val="1"/>
          <w:color w:val="auto"/>
        </w:rPr>
        <w:t>ARCH</w:t>
      </w:r>
      <w:r>
        <w:rPr>
          <w:rFonts w:ascii="Times New Roman" w:cs="Times New Roman" w:eastAsia="Times New Roman" w:hAnsi="Times New Roman"/>
          <w:sz w:val="18"/>
          <w:szCs w:val="18"/>
          <w:b w:val="1"/>
          <w:bCs w:val="1"/>
          <w:color w:val="auto"/>
        </w:rPr>
        <w:t xml:space="preserve"> 24, 2023</w:t>
      </w:r>
    </w:p>
    <w:p>
      <w:pPr>
        <w:spacing w:after="0" w:line="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TOCKHOLDERS</w:t>
      </w:r>
      <w:r>
        <w:rPr>
          <w:rFonts w:ascii="Times New Roman" w:cs="Times New Roman" w:eastAsia="Times New Roman" w:hAnsi="Times New Roman"/>
          <w:sz w:val="18"/>
          <w:szCs w:val="18"/>
          <w:b w:val="1"/>
          <w:bCs w:val="1"/>
          <w:color w:val="auto"/>
        </w:rPr>
        <w:t>: M</w:t>
      </w:r>
      <w:r>
        <w:rPr>
          <w:rFonts w:ascii="Times New Roman" w:cs="Times New Roman" w:eastAsia="Times New Roman" w:hAnsi="Times New Roman"/>
          <w:sz w:val="13"/>
          <w:szCs w:val="13"/>
          <w:b w:val="1"/>
          <w:bCs w:val="1"/>
          <w:color w:val="auto"/>
        </w:rPr>
        <w:t>AY</w:t>
      </w:r>
      <w:r>
        <w:rPr>
          <w:rFonts w:ascii="Times New Roman" w:cs="Times New Roman" w:eastAsia="Times New Roman" w:hAnsi="Times New Roman"/>
          <w:sz w:val="18"/>
          <w:szCs w:val="18"/>
          <w:b w:val="1"/>
          <w:bCs w:val="1"/>
          <w:color w:val="auto"/>
        </w:rPr>
        <w:t xml:space="preserve"> 17, 2023</w:t>
      </w:r>
    </w:p>
    <w:p>
      <w:pPr>
        <w:ind w:left="1580"/>
        <w:spacing w:after="0" w:line="219"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ESTATED BY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OMPENSATION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OMMITTEE</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3"/>
          <w:szCs w:val="13"/>
          <w:b w:val="1"/>
          <w:bCs w:val="1"/>
          <w:color w:val="auto"/>
        </w:rPr>
        <w:t>ARCH</w:t>
      </w:r>
      <w:r>
        <w:rPr>
          <w:rFonts w:ascii="Times New Roman" w:cs="Times New Roman" w:eastAsia="Times New Roman" w:hAnsi="Times New Roman"/>
          <w:sz w:val="18"/>
          <w:szCs w:val="18"/>
          <w:b w:val="1"/>
          <w:bCs w:val="1"/>
          <w:color w:val="auto"/>
        </w:rPr>
        <w:t xml:space="preserve"> 18, 2024</w:t>
      </w: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TOCKHOLDERS</w:t>
      </w:r>
      <w:r>
        <w:rPr>
          <w:rFonts w:ascii="Times New Roman" w:cs="Times New Roman" w:eastAsia="Times New Roman" w:hAnsi="Times New Roman"/>
          <w:sz w:val="18"/>
          <w:szCs w:val="18"/>
          <w:b w:val="1"/>
          <w:bCs w:val="1"/>
          <w:color w:val="auto"/>
        </w:rPr>
        <w:t>: , 2024</w:t>
      </w:r>
    </w:p>
    <w:p>
      <w:pPr>
        <w:spacing w:after="0" w:line="20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3"/>
          <w:szCs w:val="13"/>
          <w:b w:val="1"/>
          <w:bCs w:val="1"/>
          <w:color w:val="auto"/>
        </w:rPr>
        <w:t>ERMINATION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ATE</w:t>
      </w:r>
      <w:r>
        <w:rPr>
          <w:rFonts w:ascii="Times New Roman" w:cs="Times New Roman" w:eastAsia="Times New Roman" w:hAnsi="Times New Roman"/>
          <w:sz w:val="18"/>
          <w:szCs w:val="18"/>
          <w:b w:val="1"/>
          <w:bCs w:val="1"/>
          <w:color w:val="auto"/>
        </w:rPr>
        <w:t>: M</w:t>
      </w:r>
      <w:r>
        <w:rPr>
          <w:rFonts w:ascii="Times New Roman" w:cs="Times New Roman" w:eastAsia="Times New Roman" w:hAnsi="Times New Roman"/>
          <w:sz w:val="13"/>
          <w:szCs w:val="13"/>
          <w:b w:val="1"/>
          <w:bCs w:val="1"/>
          <w:color w:val="auto"/>
        </w:rPr>
        <w:t>ARCH</w:t>
      </w:r>
      <w:r>
        <w:rPr>
          <w:rFonts w:ascii="Times New Roman" w:cs="Times New Roman" w:eastAsia="Times New Roman" w:hAnsi="Times New Roman"/>
          <w:sz w:val="18"/>
          <w:szCs w:val="18"/>
          <w:b w:val="1"/>
          <w:bCs w:val="1"/>
          <w:color w:val="auto"/>
        </w:rPr>
        <w:t xml:space="preserve"> 15, 2030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55880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995" w:right="339" w:bottom="1440" w:gutter="0" w:footer="0" w:header="0"/>
        </w:sectPr>
      </w:pPr>
    </w:p>
    <w:bookmarkStart w:id="77" w:name="page78"/>
    <w:bookmarkEnd w:id="77"/>
    <w:p>
      <w:pPr>
        <w:ind w:left="180" w:hanging="172"/>
        <w:spacing w:after="0"/>
        <w:tabs>
          <w:tab w:leader="none" w:pos="18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3"/>
          <w:szCs w:val="13"/>
          <w:b w:val="1"/>
          <w:bCs w:val="1"/>
          <w:color w:val="auto"/>
        </w:rPr>
        <w:t>ENERAL</w:t>
      </w:r>
      <w:r>
        <w:rPr>
          <w:rFonts w:ascii="Times New Roman" w:cs="Times New Roman" w:eastAsia="Times New Roman" w:hAnsi="Times New Roman"/>
          <w:sz w:val="18"/>
          <w:szCs w:val="18"/>
          <w:b w:val="1"/>
          <w:bCs w:val="1"/>
          <w:color w:val="auto"/>
        </w:rPr>
        <w:t>.</w:t>
      </w:r>
    </w:p>
    <w:p>
      <w:pPr>
        <w:spacing w:after="0" w:line="198" w:lineRule="exact"/>
        <w:rPr>
          <w:rFonts w:ascii="Times New Roman" w:cs="Times New Roman" w:eastAsia="Times New Roman" w:hAnsi="Times New Roman"/>
          <w:sz w:val="18"/>
          <w:szCs w:val="18"/>
          <w:b w:val="1"/>
          <w:bCs w:val="1"/>
          <w:color w:val="auto"/>
        </w:rPr>
      </w:pPr>
    </w:p>
    <w:p>
      <w:pPr>
        <w:ind w:right="100" w:firstLine="559"/>
        <w:spacing w:after="0" w:line="221" w:lineRule="auto"/>
        <w:tabs>
          <w:tab w:leader="none" w:pos="805"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Successor to and Continuation of Prior Plan. </w:t>
      </w:r>
      <w:r>
        <w:rPr>
          <w:rFonts w:ascii="Times New Roman" w:cs="Times New Roman" w:eastAsia="Times New Roman" w:hAnsi="Times New Roman"/>
          <w:sz w:val="18"/>
          <w:szCs w:val="18"/>
          <w:color w:val="auto"/>
        </w:rPr>
        <w:t>The Plan is the successor to and continuation of the Prior Plan. As of the day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the Effective Date: (i) no additional awards may be granted under the Prior Plan; (ii) the Prior Plan’s Available Reserve, plus any Prior Plan’s Returning Shares (as such shares become available from time to time), will become available for issuance pursuant to Awards granted under this Plan; and (iii) all Prior Plan Awards will remain subject to the terms of the Prior Plan (except that any Prior Plan’s Returning Shares will become available for issuance pursuant to Awards granted under this Plan). All Awards granted under this Plan will be subject to the terms of this Plan.</w:t>
      </w:r>
    </w:p>
    <w:p>
      <w:pPr>
        <w:spacing w:after="0" w:line="154" w:lineRule="exact"/>
        <w:rPr>
          <w:rFonts w:ascii="Times New Roman" w:cs="Times New Roman" w:eastAsia="Times New Roman" w:hAnsi="Times New Roman"/>
          <w:sz w:val="18"/>
          <w:szCs w:val="18"/>
          <w:b w:val="1"/>
          <w:bCs w:val="1"/>
          <w:color w:val="auto"/>
        </w:rPr>
      </w:pPr>
    </w:p>
    <w:p>
      <w:pPr>
        <w:jc w:val="both"/>
        <w:ind w:right="20" w:firstLine="559"/>
        <w:spacing w:after="0" w:line="232" w:lineRule="auto"/>
        <w:tabs>
          <w:tab w:leader="none" w:pos="815"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Purpose. </w:t>
      </w:r>
      <w:r>
        <w:rPr>
          <w:rFonts w:ascii="Times New Roman" w:cs="Times New Roman" w:eastAsia="Times New Roman" w:hAnsi="Times New Roman"/>
          <w:sz w:val="18"/>
          <w:szCs w:val="18"/>
          <w:color w:val="auto"/>
        </w:rPr>
        <w:t>The Company, by means of the Plan, seeks to secure and retain the services of Employees, Directors and Consultants,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55" w:lineRule="exact"/>
        <w:rPr>
          <w:rFonts w:ascii="Times New Roman" w:cs="Times New Roman" w:eastAsia="Times New Roman" w:hAnsi="Times New Roman"/>
          <w:sz w:val="18"/>
          <w:szCs w:val="18"/>
          <w:b w:val="1"/>
          <w:bCs w:val="1"/>
          <w:color w:val="auto"/>
        </w:rPr>
      </w:pPr>
    </w:p>
    <w:p>
      <w:pPr>
        <w:ind w:left="800" w:hanging="241"/>
        <w:spacing w:after="0"/>
        <w:tabs>
          <w:tab w:leader="none" w:pos="800"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Available Awards. </w:t>
      </w:r>
      <w:r>
        <w:rPr>
          <w:rFonts w:ascii="Times New Roman" w:cs="Times New Roman" w:eastAsia="Times New Roman" w:hAnsi="Times New Roman"/>
          <w:sz w:val="18"/>
          <w:szCs w:val="18"/>
          <w:color w:val="auto"/>
        </w:rPr>
        <w:t>The Plan provides for the grant of the following Awards: (i) Incentive Stock Options; (ii) Nonstatutory Stock Options;</w:t>
      </w:r>
    </w:p>
    <w:p>
      <w:pPr>
        <w:spacing w:after="0" w:line="6" w:lineRule="exact"/>
        <w:rPr>
          <w:sz w:val="20"/>
          <w:szCs w:val="20"/>
          <w:color w:val="auto"/>
        </w:rPr>
      </w:pPr>
    </w:p>
    <w:p>
      <w:pPr>
        <w:ind w:left="320" w:hanging="312"/>
        <w:spacing w:after="0"/>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SARs; (iv) Restricted Stock Awards; (v) RSU Awards; (vi) Performance Awards; and (vii) Other Awards.</w:t>
      </w:r>
    </w:p>
    <w:p>
      <w:pPr>
        <w:spacing w:after="0" w:line="160" w:lineRule="exact"/>
        <w:rPr>
          <w:rFonts w:ascii="Times New Roman" w:cs="Times New Roman" w:eastAsia="Times New Roman" w:hAnsi="Times New Roman"/>
          <w:sz w:val="18"/>
          <w:szCs w:val="18"/>
          <w:color w:val="auto"/>
        </w:rPr>
      </w:pPr>
    </w:p>
    <w:p>
      <w:pPr>
        <w:ind w:right="80" w:firstLine="559"/>
        <w:spacing w:after="0" w:line="232" w:lineRule="auto"/>
        <w:tabs>
          <w:tab w:leader="none" w:pos="815" w:val="left"/>
        </w:tabs>
        <w:numPr>
          <w:ilvl w:val="1"/>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Adoption Date. </w:t>
      </w:r>
      <w:r>
        <w:rPr>
          <w:rFonts w:ascii="Times New Roman" w:cs="Times New Roman" w:eastAsia="Times New Roman" w:hAnsi="Times New Roman"/>
          <w:sz w:val="18"/>
          <w:szCs w:val="18"/>
          <w:color w:val="auto"/>
        </w:rPr>
        <w:t>The Plan will come into existence on the Adoption Date. No Award may be granted under the Plan prior to the Adoption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Award granted prior to the Effective Date is contingent upon timely receipt of stockholder approval to the extent required under applicable tax, securities and regulatory rules, and satisfaction of any other compliance requirements.</w:t>
      </w:r>
    </w:p>
    <w:p>
      <w:pPr>
        <w:spacing w:after="0" w:line="156" w:lineRule="exact"/>
        <w:rPr>
          <w:sz w:val="20"/>
          <w:szCs w:val="20"/>
          <w:color w:val="auto"/>
        </w:rPr>
      </w:pPr>
    </w:p>
    <w:p>
      <w:pPr>
        <w:ind w:left="180" w:hanging="172"/>
        <w:spacing w:after="0"/>
        <w:tabs>
          <w:tab w:leader="none" w:pos="18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HARES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w:t>
      </w:r>
    </w:p>
    <w:p>
      <w:pPr>
        <w:spacing w:after="0" w:line="184" w:lineRule="exact"/>
        <w:rPr>
          <w:rFonts w:ascii="Times New Roman" w:cs="Times New Roman" w:eastAsia="Times New Roman" w:hAnsi="Times New Roman"/>
          <w:sz w:val="18"/>
          <w:szCs w:val="18"/>
          <w:b w:val="1"/>
          <w:bCs w:val="1"/>
          <w:color w:val="auto"/>
        </w:rPr>
      </w:pPr>
    </w:p>
    <w:p>
      <w:pPr>
        <w:ind w:left="820" w:hanging="261"/>
        <w:spacing w:after="0"/>
        <w:tabs>
          <w:tab w:leader="none" w:pos="820"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Reserve.</w:t>
      </w:r>
    </w:p>
    <w:p>
      <w:pPr>
        <w:spacing w:after="0" w:line="202" w:lineRule="exact"/>
        <w:rPr>
          <w:rFonts w:ascii="Times New Roman" w:cs="Times New Roman" w:eastAsia="Times New Roman" w:hAnsi="Times New Roman"/>
          <w:sz w:val="18"/>
          <w:szCs w:val="18"/>
          <w:b w:val="1"/>
          <w:bCs w:val="1"/>
          <w:color w:val="auto"/>
        </w:rPr>
      </w:pPr>
    </w:p>
    <w:p>
      <w:pPr>
        <w:ind w:right="40" w:firstLine="1110"/>
        <w:spacing w:after="0" w:line="217" w:lineRule="auto"/>
        <w:tabs>
          <w:tab w:leader="none" w:pos="1316" w:val="left"/>
        </w:tabs>
        <w:numPr>
          <w:ilvl w:val="2"/>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Section 2(a)(iii), any adjustment in accordance with Section 2(b), and any adjustment as necessary to implement any Capitalization Adjustment, the aggregate number of shares of Common Stock that may be issued pursuant to Awards will not exceed the sum of: (i) the Prior Plan’s Available Reserve; (ii) an additional 3,300,000 shares that were approved at the Annual Meeting in 2020; (iii) an additional 5,900,000 shares that were approved at the Annual Meeting in 2022; (iv) an additional 6,600,000 shares that were approved at the Annual Meeting in 2023; (v) an additional 3,635,000 shares that were approved at the Annual Meeting in 2024; and (vi) the number of Prior Plan’s Returning Shares, if any, as such shares become available from time to time.</w:t>
      </w:r>
    </w:p>
    <w:p>
      <w:pPr>
        <w:spacing w:after="0" w:line="173" w:lineRule="exact"/>
        <w:rPr>
          <w:rFonts w:ascii="Times New Roman" w:cs="Times New Roman" w:eastAsia="Times New Roman" w:hAnsi="Times New Roman"/>
          <w:sz w:val="18"/>
          <w:szCs w:val="18"/>
          <w:b w:val="1"/>
          <w:bCs w:val="1"/>
          <w:color w:val="auto"/>
        </w:rPr>
      </w:pPr>
    </w:p>
    <w:p>
      <w:pPr>
        <w:jc w:val="both"/>
        <w:ind w:right="100" w:firstLine="1110"/>
        <w:spacing w:after="0" w:line="224" w:lineRule="auto"/>
        <w:tabs>
          <w:tab w:leader="none" w:pos="1366" w:val="left"/>
        </w:tabs>
        <w:numPr>
          <w:ilvl w:val="2"/>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Section 2(b), the number of shares of Common Stock available for issuance under the Plan will be reduced by: (A) one share for each share of Common Stock issued pursuant to an Appreciation Award granted under the Plan; (B) one share for each share of Common Stock issued pursuant to a Full Value Award granted under the Plan prior to May 18, 2022; and (C) 2.13 shares for each share of Common Stock issued pursuant to a Full Value Award granted under the Plan on or after May 18, 2022.</w:t>
      </w:r>
    </w:p>
    <w:p>
      <w:pPr>
        <w:spacing w:after="0" w:line="158" w:lineRule="exact"/>
        <w:rPr>
          <w:rFonts w:ascii="Times New Roman" w:cs="Times New Roman" w:eastAsia="Times New Roman" w:hAnsi="Times New Roman"/>
          <w:sz w:val="18"/>
          <w:szCs w:val="18"/>
          <w:b w:val="1"/>
          <w:bCs w:val="1"/>
          <w:color w:val="auto"/>
        </w:rPr>
      </w:pPr>
    </w:p>
    <w:p>
      <w:pPr>
        <w:jc w:val="both"/>
        <w:ind w:right="80" w:firstLine="1110"/>
        <w:spacing w:after="0" w:line="229" w:lineRule="auto"/>
        <w:tabs>
          <w:tab w:leader="none" w:pos="1416" w:val="left"/>
        </w:tabs>
        <w:numPr>
          <w:ilvl w:val="2"/>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Subject to Section 2(b), the number of shares of Common Stock available for issuance under the Plan will be increased by: (A) one share for each Prior Plan’s Returning Share or 2020 Plan Returning Share (as defined in Section 2(b)(iii)(1)) subject to an Appreciation Award; (B) one share for each Prior Plan’s Returning Share or 2020 Plan Returning Share subject to a Full Value Award that returns to the Plan prior to May 18, 2022; and</w:t>
      </w:r>
    </w:p>
    <w:p>
      <w:pPr>
        <w:ind w:right="560"/>
        <w:spacing w:after="0" w:line="22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(C) 2.13 shares for each Prior Plan’s Returning Share or 2020 Plan Returning Share subject to a Full Value Award that returns to the Plan on or after May 18, 2022.</w:t>
      </w:r>
    </w:p>
    <w:p>
      <w:pPr>
        <w:spacing w:after="0" w:line="153" w:lineRule="exact"/>
        <w:rPr>
          <w:rFonts w:ascii="Times New Roman" w:cs="Times New Roman" w:eastAsia="Times New Roman" w:hAnsi="Times New Roman"/>
          <w:sz w:val="17"/>
          <w:szCs w:val="17"/>
          <w:b w:val="1"/>
          <w:bCs w:val="1"/>
          <w:color w:val="auto"/>
        </w:rPr>
      </w:pPr>
    </w:p>
    <w:p>
      <w:pPr>
        <w:ind w:left="820" w:hanging="261"/>
        <w:spacing w:after="0"/>
        <w:tabs>
          <w:tab w:leader="none" w:pos="820"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Reserve Operation.</w:t>
      </w:r>
    </w:p>
    <w:p>
      <w:pPr>
        <w:spacing w:after="0" w:line="198" w:lineRule="exact"/>
        <w:rPr>
          <w:rFonts w:ascii="Times New Roman" w:cs="Times New Roman" w:eastAsia="Times New Roman" w:hAnsi="Times New Roman"/>
          <w:sz w:val="18"/>
          <w:szCs w:val="18"/>
          <w:b w:val="1"/>
          <w:bCs w:val="1"/>
          <w:color w:val="auto"/>
        </w:rPr>
      </w:pPr>
    </w:p>
    <w:p>
      <w:pPr>
        <w:ind w:right="40" w:firstLine="1110"/>
        <w:spacing w:after="0" w:line="218" w:lineRule="auto"/>
        <w:tabs>
          <w:tab w:leader="none" w:pos="1316" w:val="left"/>
        </w:tabs>
        <w:numPr>
          <w:ilvl w:val="2"/>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 Applies to Shares Issued Pursuant to Awards. </w:t>
      </w:r>
      <w:r>
        <w:rPr>
          <w:rFonts w:ascii="Times New Roman" w:cs="Times New Roman" w:eastAsia="Times New Roman" w:hAnsi="Times New Roman"/>
          <w:sz w:val="18"/>
          <w:szCs w:val="18"/>
          <w:color w:val="auto"/>
        </w:rPr>
        <w:t>For clarity, the Share Reserve is a limit on the number of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167" w:lineRule="exact"/>
        <w:rPr>
          <w:rFonts w:ascii="Times New Roman" w:cs="Times New Roman" w:eastAsia="Times New Roman" w:hAnsi="Times New Roman"/>
          <w:sz w:val="18"/>
          <w:szCs w:val="18"/>
          <w:b w:val="1"/>
          <w:bCs w:val="1"/>
          <w:color w:val="auto"/>
        </w:rPr>
      </w:pPr>
    </w:p>
    <w:p>
      <w:pPr>
        <w:ind w:firstLine="1110"/>
        <w:spacing w:after="0" w:line="221" w:lineRule="auto"/>
        <w:tabs>
          <w:tab w:leader="none" w:pos="1366" w:val="left"/>
        </w:tabs>
        <w:numPr>
          <w:ilvl w:val="2"/>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Actions that Will Not Constitute Issuance of Shares and Will Not Reduce Share Reserve. </w:t>
      </w:r>
      <w:r>
        <w:rPr>
          <w:rFonts w:ascii="Times New Roman" w:cs="Times New Roman" w:eastAsia="Times New Roman" w:hAnsi="Times New Roman"/>
          <w:sz w:val="18"/>
          <w:szCs w:val="18"/>
          <w:color w:val="auto"/>
        </w:rPr>
        <w:t>The following actions will not result in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of shares of Common Stock under the Plan and accordingly will not reduce the number of shares of Common Stock subject to the Share Reserve and available for issuance under the Plan: (1) the expiration or termination of any portion of an Award without the shares covered by such portion of the Award having been issued; and (2) the settlement of any portion of an Award in cash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Participant receives cash rather than shares of Common Stock).</w:t>
      </w:r>
    </w:p>
    <w:p>
      <w:pPr>
        <w:spacing w:after="0" w:line="154" w:lineRule="exact"/>
        <w:rPr>
          <w:rFonts w:ascii="Times New Roman" w:cs="Times New Roman" w:eastAsia="Times New Roman" w:hAnsi="Times New Roman"/>
          <w:sz w:val="18"/>
          <w:szCs w:val="18"/>
          <w:b w:val="1"/>
          <w:bCs w:val="1"/>
          <w:color w:val="auto"/>
        </w:rPr>
      </w:pPr>
    </w:p>
    <w:p>
      <w:pPr>
        <w:ind w:left="1420" w:hanging="310"/>
        <w:spacing w:after="0"/>
        <w:tabs>
          <w:tab w:leader="none" w:pos="1420" w:val="left"/>
        </w:tabs>
        <w:numPr>
          <w:ilvl w:val="2"/>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Reversion of Shares to the Share Reserve.</w:t>
      </w:r>
    </w:p>
    <w:p>
      <w:pPr>
        <w:spacing w:after="0" w:line="198" w:lineRule="exact"/>
        <w:rPr>
          <w:rFonts w:ascii="Times New Roman" w:cs="Times New Roman" w:eastAsia="Times New Roman" w:hAnsi="Times New Roman"/>
          <w:sz w:val="18"/>
          <w:szCs w:val="18"/>
          <w:b w:val="1"/>
          <w:bCs w:val="1"/>
          <w:color w:val="auto"/>
        </w:rPr>
      </w:pPr>
    </w:p>
    <w:p>
      <w:pPr>
        <w:jc w:val="both"/>
        <w:ind w:right="140" w:firstLine="2211"/>
        <w:spacing w:after="0" w:line="227" w:lineRule="auto"/>
        <w:tabs>
          <w:tab w:leader="none" w:pos="2458" w:val="left"/>
        </w:tabs>
        <w:numPr>
          <w:ilvl w:val="3"/>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Shares Available for Subsequent Issuance. </w:t>
      </w:r>
      <w:r>
        <w:rPr>
          <w:rFonts w:ascii="Times New Roman" w:cs="Times New Roman" w:eastAsia="Times New Roman" w:hAnsi="Times New Roman"/>
          <w:sz w:val="18"/>
          <w:szCs w:val="18"/>
          <w:color w:val="auto"/>
        </w:rPr>
        <w:t>If any shares of Common Stock issued pursuant to an Award are forfeited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back to or repurchased by the Company because of the failure to meet a contingency or condition required for the vesting of such shares, then such shares will revert to the Share Reserve and become available again for issuance under the Plan (such shares, the “</w:t>
      </w:r>
      <w:r>
        <w:rPr>
          <w:rFonts w:ascii="Times New Roman" w:cs="Times New Roman" w:eastAsia="Times New Roman" w:hAnsi="Times New Roman"/>
          <w:sz w:val="18"/>
          <w:szCs w:val="18"/>
          <w:b w:val="1"/>
          <w:bCs w:val="1"/>
          <w:i w:val="1"/>
          <w:iCs w:val="1"/>
          <w:color w:val="auto"/>
        </w:rPr>
        <w:t>2020 Plan Returning Shares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78" w:name="page79"/>
    <w:bookmarkEnd w:id="78"/>
    <w:p>
      <w:pPr>
        <w:ind w:left="2460" w:hanging="249"/>
        <w:spacing w:after="0"/>
        <w:tabs>
          <w:tab w:leader="none" w:pos="2460" w:val="left"/>
        </w:tabs>
        <w:numPr>
          <w:ilvl w:val="3"/>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Shares Not Available for Subsequent Issuance. </w:t>
      </w:r>
      <w:r>
        <w:rPr>
          <w:rFonts w:ascii="Times New Roman" w:cs="Times New Roman" w:eastAsia="Times New Roman" w:hAnsi="Times New Roman"/>
          <w:sz w:val="18"/>
          <w:szCs w:val="18"/>
          <w:color w:val="auto"/>
        </w:rPr>
        <w:t>The following shares of Common Stock will not become available</w:t>
      </w:r>
    </w:p>
    <w:p>
      <w:pPr>
        <w:spacing w:after="0" w:line="6" w:lineRule="exact"/>
        <w:rPr>
          <w:rFonts w:ascii="Times New Roman" w:cs="Times New Roman" w:eastAsia="Times New Roman" w:hAnsi="Times New Roman"/>
          <w:sz w:val="18"/>
          <w:szCs w:val="18"/>
          <w:b w:val="1"/>
          <w:bCs w:val="1"/>
          <w:color w:val="auto"/>
        </w:rPr>
      </w:pPr>
    </w:p>
    <w:p>
      <w:pPr>
        <w:spacing w:after="0" w:line="21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again for issuance under the Plan: (i) any shares that are reacquired or withheld (or not issued) by the Company to satisfy the exercise, strike or purchase price of an Award or a Prior Plan Award (including any shares subject to such award that are not delivered because such award is exercised through a reduction of shares subject to such award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“net exercised”)); (ii) any shares that are reacquired or withheld (or not issued) by the Company to satisfy a tax withholding obligation in connection with an Award or a Prior Plan Award; (iii) any shares repurchased by the Company on the open market with the proceeds of the exercise, strike or purchase price of an Award or a Prior Plan Award; and (iv) in the event that a Stock Appreciation Right granted under the Plan or a stock appreciation right granted under the Prior Plan is settled in shares of Common Stock, the gross number of shares of Common Stock subject to such award.</w:t>
      </w:r>
    </w:p>
    <w:p>
      <w:pPr>
        <w:spacing w:after="0" w:line="155"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3"/>
          <w:szCs w:val="13"/>
          <w:b w:val="1"/>
          <w:bCs w:val="1"/>
          <w:color w:val="auto"/>
        </w:rPr>
        <w:t>LIGIBILITY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3"/>
          <w:szCs w:val="13"/>
          <w:b w:val="1"/>
          <w:bCs w:val="1"/>
          <w:color w:val="auto"/>
        </w:rPr>
        <w:t>IMITATIONS</w:t>
      </w:r>
      <w:r>
        <w:rPr>
          <w:rFonts w:ascii="Times New Roman" w:cs="Times New Roman" w:eastAsia="Times New Roman" w:hAnsi="Times New Roman"/>
          <w:sz w:val="18"/>
          <w:szCs w:val="18"/>
          <w:b w:val="1"/>
          <w:bCs w:val="1"/>
          <w:color w:val="auto"/>
        </w:rPr>
        <w:t>.</w:t>
      </w:r>
    </w:p>
    <w:p>
      <w:pPr>
        <w:spacing w:after="0" w:line="184" w:lineRule="exact"/>
        <w:rPr>
          <w:rFonts w:ascii="Times New Roman" w:cs="Times New Roman" w:eastAsia="Times New Roman" w:hAnsi="Times New Roman"/>
          <w:sz w:val="18"/>
          <w:szCs w:val="18"/>
          <w:b w:val="1"/>
          <w:bCs w:val="1"/>
          <w:color w:val="auto"/>
        </w:rPr>
      </w:pPr>
    </w:p>
    <w:p>
      <w:pPr>
        <w:ind w:left="820" w:hanging="261"/>
        <w:spacing w:after="0"/>
        <w:tabs>
          <w:tab w:leader="none" w:pos="820" w:val="left"/>
        </w:tabs>
        <w:numPr>
          <w:ilvl w:val="1"/>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Award Recipients. </w:t>
      </w:r>
      <w:r>
        <w:rPr>
          <w:rFonts w:ascii="Times New Roman" w:cs="Times New Roman" w:eastAsia="Times New Roman" w:hAnsi="Times New Roman"/>
          <w:sz w:val="18"/>
          <w:szCs w:val="18"/>
          <w:color w:val="auto"/>
        </w:rPr>
        <w:t>Subject to the terms of the Plan, Employees, Directors and Consultants are eligible to receive Awards.</w:t>
      </w:r>
    </w:p>
    <w:p>
      <w:pPr>
        <w:spacing w:after="0" w:line="198" w:lineRule="exact"/>
        <w:rPr>
          <w:rFonts w:ascii="Times New Roman" w:cs="Times New Roman" w:eastAsia="Times New Roman" w:hAnsi="Times New Roman"/>
          <w:sz w:val="18"/>
          <w:szCs w:val="18"/>
          <w:b w:val="1"/>
          <w:bCs w:val="1"/>
          <w:color w:val="auto"/>
        </w:rPr>
      </w:pPr>
    </w:p>
    <w:p>
      <w:pPr>
        <w:ind w:left="820" w:hanging="261"/>
        <w:spacing w:after="0"/>
        <w:tabs>
          <w:tab w:leader="none" w:pos="820" w:val="left"/>
        </w:tabs>
        <w:numPr>
          <w:ilvl w:val="1"/>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Specific Award Limitations.</w:t>
      </w:r>
    </w:p>
    <w:p>
      <w:pPr>
        <w:spacing w:after="0" w:line="184" w:lineRule="exact"/>
        <w:rPr>
          <w:rFonts w:ascii="Times New Roman" w:cs="Times New Roman" w:eastAsia="Times New Roman" w:hAnsi="Times New Roman"/>
          <w:sz w:val="18"/>
          <w:szCs w:val="18"/>
          <w:b w:val="1"/>
          <w:bCs w:val="1"/>
          <w:color w:val="auto"/>
        </w:rPr>
      </w:pPr>
    </w:p>
    <w:p>
      <w:pPr>
        <w:ind w:right="220" w:firstLine="1110"/>
        <w:spacing w:after="0" w:line="239" w:lineRule="auto"/>
        <w:tabs>
          <w:tab w:leader="none" w:pos="1316" w:val="left"/>
        </w:tabs>
        <w:numPr>
          <w:ilvl w:val="2"/>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Incentive Stock Option Recipients. </w:t>
      </w:r>
      <w:r>
        <w:rPr>
          <w:rFonts w:ascii="Times New Roman" w:cs="Times New Roman" w:eastAsia="Times New Roman" w:hAnsi="Times New Roman"/>
          <w:sz w:val="18"/>
          <w:szCs w:val="18"/>
          <w:color w:val="auto"/>
        </w:rPr>
        <w:t>Incentive Stock Options may be granted only to Employees of the Company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corporation” or “subsidiary corporation” thereof (as such terms are defined in Sections 424(e) and (f) of the Code).</w:t>
      </w:r>
    </w:p>
    <w:p>
      <w:pPr>
        <w:spacing w:after="0" w:line="168" w:lineRule="exact"/>
        <w:rPr>
          <w:rFonts w:ascii="Times New Roman" w:cs="Times New Roman" w:eastAsia="Times New Roman" w:hAnsi="Times New Roman"/>
          <w:sz w:val="18"/>
          <w:szCs w:val="18"/>
          <w:b w:val="1"/>
          <w:bCs w:val="1"/>
          <w:color w:val="auto"/>
        </w:rPr>
      </w:pPr>
    </w:p>
    <w:p>
      <w:pPr>
        <w:ind w:right="40" w:firstLine="1110"/>
        <w:spacing w:after="0" w:line="221" w:lineRule="auto"/>
        <w:tabs>
          <w:tab w:leader="none" w:pos="1366" w:val="left"/>
        </w:tabs>
        <w:numPr>
          <w:ilvl w:val="2"/>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Incentive Stock Option $100,000 Limitation. </w:t>
      </w:r>
      <w:r>
        <w:rPr>
          <w:rFonts w:ascii="Times New Roman" w:cs="Times New Roman" w:eastAsia="Times New Roman" w:hAnsi="Times New Roman"/>
          <w:sz w:val="18"/>
          <w:szCs w:val="18"/>
          <w:color w:val="auto"/>
        </w:rPr>
        <w:t>To the extent that the aggregate Fair Market Value (determined at the time of grant)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which Incentive Stock Options are exercisable for the first time by any Participant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54" w:lineRule="exact"/>
        <w:rPr>
          <w:rFonts w:ascii="Times New Roman" w:cs="Times New Roman" w:eastAsia="Times New Roman" w:hAnsi="Times New Roman"/>
          <w:sz w:val="18"/>
          <w:szCs w:val="18"/>
          <w:b w:val="1"/>
          <w:bCs w:val="1"/>
          <w:color w:val="auto"/>
        </w:rPr>
      </w:pPr>
    </w:p>
    <w:p>
      <w:pPr>
        <w:ind w:right="220" w:firstLine="1110"/>
        <w:spacing w:after="0" w:line="225" w:lineRule="auto"/>
        <w:tabs>
          <w:tab w:leader="none" w:pos="1416" w:val="left"/>
        </w:tabs>
        <w:numPr>
          <w:ilvl w:val="2"/>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Incentive Stock Options Granted to Ten Percent Stockholders. </w:t>
      </w:r>
      <w:r>
        <w:rPr>
          <w:rFonts w:ascii="Times New Roman" w:cs="Times New Roman" w:eastAsia="Times New Roman" w:hAnsi="Times New Roman"/>
          <w:sz w:val="18"/>
          <w:szCs w:val="18"/>
          <w:color w:val="auto"/>
        </w:rPr>
        <w:t>A Ten Percent Stockholder may not be granted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Stock Option unless (1) the exercise price of such Option is at least 110% of the Fair Market Value on the date of grant of such Option and</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 such Option is not exercisable after the expiration of five years from the date of grant of such Option.</w:t>
      </w:r>
    </w:p>
    <w:p>
      <w:pPr>
        <w:spacing w:after="0" w:line="160" w:lineRule="exact"/>
        <w:rPr>
          <w:rFonts w:ascii="Times New Roman" w:cs="Times New Roman" w:eastAsia="Times New Roman" w:hAnsi="Times New Roman"/>
          <w:sz w:val="18"/>
          <w:szCs w:val="18"/>
          <w:b w:val="1"/>
          <w:bCs w:val="1"/>
          <w:color w:val="auto"/>
        </w:rPr>
      </w:pPr>
    </w:p>
    <w:p>
      <w:pPr>
        <w:jc w:val="both"/>
        <w:ind w:right="300" w:firstLine="1110"/>
        <w:spacing w:after="0" w:line="225" w:lineRule="auto"/>
        <w:tabs>
          <w:tab w:leader="none" w:pos="1406" w:val="left"/>
        </w:tabs>
        <w:numPr>
          <w:ilvl w:val="2"/>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Nonstatutory Stock Options and SARs. </w:t>
      </w:r>
      <w:r>
        <w:rPr>
          <w:rFonts w:ascii="Times New Roman" w:cs="Times New Roman" w:eastAsia="Times New Roman" w:hAnsi="Times New Roman"/>
          <w:sz w:val="18"/>
          <w:szCs w:val="18"/>
          <w:color w:val="auto"/>
        </w:rPr>
        <w:t>Nonstatutory Stock Options and SARs may not be granted to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Consultants who are providing Continuous Service only to any “parent” of the Company (as such term is defined in Rule 405) unless the stock underlying such Awards is treated as “service recipient stock” under Section 409A because such Awards are granted pursuant to a corporate transaction (such as a spin off transaction) or unless such Awards otherwise comply with the distribution requirements of Section 409A.</w:t>
      </w:r>
    </w:p>
    <w:p>
      <w:pPr>
        <w:spacing w:after="0" w:line="155" w:lineRule="exact"/>
        <w:rPr>
          <w:rFonts w:ascii="Times New Roman" w:cs="Times New Roman" w:eastAsia="Times New Roman" w:hAnsi="Times New Roman"/>
          <w:sz w:val="18"/>
          <w:szCs w:val="18"/>
          <w:b w:val="1"/>
          <w:bCs w:val="1"/>
          <w:color w:val="auto"/>
        </w:rPr>
      </w:pPr>
    </w:p>
    <w:p>
      <w:pPr>
        <w:ind w:right="60" w:firstLine="559"/>
        <w:spacing w:after="0" w:line="232" w:lineRule="auto"/>
        <w:tabs>
          <w:tab w:leader="none" w:pos="795" w:val="left"/>
        </w:tabs>
        <w:numPr>
          <w:ilvl w:val="1"/>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Notwithstanding anything to the contrary in Section 2(a) and subject to any adjustment as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implement any Capitalization Adjustment, the aggregate maximum number of shares of Common Stock that may be issued pursuant to the exercise of Incentive Stock Options is 34,135,000 shares.</w:t>
      </w:r>
    </w:p>
    <w:p>
      <w:pPr>
        <w:spacing w:after="0" w:line="155" w:lineRule="exact"/>
        <w:rPr>
          <w:rFonts w:ascii="Times New Roman" w:cs="Times New Roman" w:eastAsia="Times New Roman" w:hAnsi="Times New Roman"/>
          <w:sz w:val="18"/>
          <w:szCs w:val="18"/>
          <w:b w:val="1"/>
          <w:bCs w:val="1"/>
          <w:color w:val="auto"/>
        </w:rPr>
      </w:pPr>
    </w:p>
    <w:p>
      <w:pPr>
        <w:ind w:firstLine="559"/>
        <w:spacing w:after="0" w:line="215" w:lineRule="auto"/>
        <w:tabs>
          <w:tab w:leader="none" w:pos="815" w:val="left"/>
        </w:tabs>
        <w:numPr>
          <w:ilvl w:val="1"/>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Non-Employee Director Compensation Limit. </w:t>
      </w:r>
      <w:r>
        <w:rPr>
          <w:rFonts w:ascii="Times New Roman" w:cs="Times New Roman" w:eastAsia="Times New Roman" w:hAnsi="Times New Roman"/>
          <w:sz w:val="18"/>
          <w:szCs w:val="18"/>
          <w:color w:val="auto"/>
        </w:rPr>
        <w:t>The aggregate value of all compensation granted or paid, as applicable, by the Company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 for service as a Non-Employee Director with respect to any period commencing on the date of the Annual Meeting for a particular year and ending on the date of the Annual Meeting for the next subsequent year (the “</w:t>
      </w:r>
      <w:r>
        <w:rPr>
          <w:rFonts w:ascii="Times New Roman" w:cs="Times New Roman" w:eastAsia="Times New Roman" w:hAnsi="Times New Roman"/>
          <w:sz w:val="18"/>
          <w:szCs w:val="18"/>
          <w:b w:val="1"/>
          <w:bCs w:val="1"/>
          <w:i w:val="1"/>
          <w:iCs w:val="1"/>
          <w:color w:val="auto"/>
        </w:rPr>
        <w:t>Annual Period</w:t>
      </w:r>
      <w:r>
        <w:rPr>
          <w:rFonts w:ascii="Times New Roman" w:cs="Times New Roman" w:eastAsia="Times New Roman" w:hAnsi="Times New Roman"/>
          <w:sz w:val="18"/>
          <w:szCs w:val="18"/>
          <w:color w:val="auto"/>
        </w:rPr>
        <w:t>”), including Awards granted and cash fees paid by the Company to such Non-Employee Director, will not exceed $1,250,000 in total value. In addition, the aggregate value of any equity award(s) granted under the Plan or otherwise by the Company to any individual for service as a Non-Employee Director upon or in connection with his or her initial election or appointment to the Board will not exceed $2,000,000 in total value; for the avoidance of doubt, the aggregate compensation granted or paid, as applicable, by the Company to any individual for service as a Non-Employee Director with respect to an Annual Period in which such individual is first appointed or elected to the Board will not exceed the sum of the two preceding limitations in this Section 3(d). The value of any equity awards, for purposes of the limitations described in this Section 3(d), will be calculated based on the grant date fair value of such equity awards for financial reporting purposes. The limitations in this Section 3(d) will apply beginning with the Annual Period in which the Annual Meeting in 2020 occurs.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1" w:right="359" w:bottom="1440" w:gutter="0" w:footer="0" w:header="0"/>
        </w:sectPr>
      </w:pPr>
    </w:p>
    <w:bookmarkStart w:id="79" w:name="page80"/>
    <w:bookmarkEnd w:id="79"/>
    <w:p>
      <w:pPr>
        <w:ind w:left="180" w:hanging="172"/>
        <w:spacing w:after="0"/>
        <w:tabs>
          <w:tab w:leader="none" w:pos="18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3"/>
          <w:szCs w:val="13"/>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3"/>
          <w:szCs w:val="13"/>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IGHTS</w:t>
      </w:r>
      <w:r>
        <w:rPr>
          <w:rFonts w:ascii="Times New Roman" w:cs="Times New Roman" w:eastAsia="Times New Roman" w:hAnsi="Times New Roman"/>
          <w:sz w:val="18"/>
          <w:szCs w:val="18"/>
          <w:b w:val="1"/>
          <w:bCs w:val="1"/>
          <w:color w:val="auto"/>
        </w:rPr>
        <w:t>.</w:t>
      </w:r>
    </w:p>
    <w:p>
      <w:pPr>
        <w:spacing w:after="0" w:line="202" w:lineRule="exact"/>
        <w:rPr>
          <w:sz w:val="20"/>
          <w:szCs w:val="20"/>
          <w:color w:val="auto"/>
        </w:rPr>
      </w:pPr>
    </w:p>
    <w:p>
      <w:pPr>
        <w:ind w:firstLine="551"/>
        <w:spacing w:after="0" w:line="229" w:lineRule="auto"/>
        <w:rPr>
          <w:sz w:val="20"/>
          <w:szCs w:val="20"/>
          <w:color w:val="auto"/>
        </w:rPr>
      </w:pPr>
      <w:r>
        <w:rPr>
          <w:rFonts w:ascii="Times New Roman" w:cs="Times New Roman" w:eastAsia="Times New Roman" w:hAnsi="Times New Roman"/>
          <w:sz w:val="17"/>
          <w:szCs w:val="17"/>
          <w:color w:val="auto"/>
        </w:rPr>
        <w:t xml:space="preserve">Each Option and SAR will have such terms and conditions as determined by the Board. Each Option will be designated in writing as an Incentive Stock Option or Nonstatutory Stock Option at the time of grant;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an Option is not so designated, then such Option will be a Nonstatutory Stock Option, and the shares purchased upon exercise of each type of Option will be separately accounted for. Each SAR will be denominated</w:t>
      </w:r>
    </w:p>
    <w:p>
      <w:pPr>
        <w:ind w:right="160"/>
        <w:spacing w:after="0" w:line="218" w:lineRule="auto"/>
        <w:rPr>
          <w:sz w:val="20"/>
          <w:szCs w:val="20"/>
          <w:color w:val="auto"/>
        </w:rPr>
      </w:pPr>
      <w:r>
        <w:rPr>
          <w:rFonts w:ascii="Times New Roman" w:cs="Times New Roman" w:eastAsia="Times New Roman" w:hAnsi="Times New Roman"/>
          <w:sz w:val="18"/>
          <w:szCs w:val="18"/>
          <w:color w:val="auto"/>
        </w:rPr>
        <w:t xml:space="preserve">in shares of Common Stock equivalents. The terms and conditions of separate Options and SARs need not be identical;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each Option Agreement and SAR Agreement will conform (through incorporation of the provisions hereof by reference in the Award Agreement or otherwise) to the substance of each of the following provisions:</w:t>
      </w:r>
    </w:p>
    <w:p>
      <w:pPr>
        <w:spacing w:after="0" w:line="168" w:lineRule="exact"/>
        <w:rPr>
          <w:sz w:val="20"/>
          <w:szCs w:val="20"/>
          <w:color w:val="auto"/>
        </w:rPr>
      </w:pPr>
    </w:p>
    <w:p>
      <w:pPr>
        <w:ind w:right="140" w:firstLine="559"/>
        <w:spacing w:after="0" w:line="239" w:lineRule="auto"/>
        <w:tabs>
          <w:tab w:leader="none" w:pos="805"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Subject to Section 3(b) regarding Ten Percent Stockholders, no Option or SAR will be exercisable after the expiration of ten years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grant of such Award or such shorter period specified in the Award Agreement.</w:t>
      </w:r>
    </w:p>
    <w:p>
      <w:pPr>
        <w:spacing w:after="0" w:line="154" w:lineRule="exact"/>
        <w:rPr>
          <w:rFonts w:ascii="Times New Roman" w:cs="Times New Roman" w:eastAsia="Times New Roman" w:hAnsi="Times New Roman"/>
          <w:sz w:val="18"/>
          <w:szCs w:val="18"/>
          <w:b w:val="1"/>
          <w:bCs w:val="1"/>
          <w:color w:val="auto"/>
        </w:rPr>
      </w:pPr>
    </w:p>
    <w:p>
      <w:pPr>
        <w:ind w:right="20" w:firstLine="559"/>
        <w:spacing w:after="0" w:line="224" w:lineRule="auto"/>
        <w:tabs>
          <w:tab w:leader="none" w:pos="815"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or Strike Price. </w:t>
      </w:r>
      <w:r>
        <w:rPr>
          <w:rFonts w:ascii="Times New Roman" w:cs="Times New Roman" w:eastAsia="Times New Roman" w:hAnsi="Times New Roman"/>
          <w:sz w:val="18"/>
          <w:szCs w:val="18"/>
          <w:color w:val="auto"/>
        </w:rPr>
        <w:t>Subject to Section 3(b) regarding Ten Percent Stockholders, the exercise or strike price of each Option or SAR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Transaction and in a manner consistent with the provisions of Sections 409A and, if applicable, 424(a) of the Code.</w:t>
      </w:r>
    </w:p>
    <w:p>
      <w:pPr>
        <w:spacing w:after="0" w:line="154" w:lineRule="exact"/>
        <w:rPr>
          <w:rFonts w:ascii="Times New Roman" w:cs="Times New Roman" w:eastAsia="Times New Roman" w:hAnsi="Times New Roman"/>
          <w:sz w:val="18"/>
          <w:szCs w:val="18"/>
          <w:b w:val="1"/>
          <w:bCs w:val="1"/>
          <w:color w:val="auto"/>
        </w:rPr>
      </w:pPr>
    </w:p>
    <w:p>
      <w:pPr>
        <w:ind w:firstLine="559"/>
        <w:spacing w:after="0" w:line="218" w:lineRule="auto"/>
        <w:tabs>
          <w:tab w:leader="none" w:pos="795"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Exercise Price for Options. </w:t>
      </w:r>
      <w:r>
        <w:rPr>
          <w:rFonts w:ascii="Times New Roman" w:cs="Times New Roman" w:eastAsia="Times New Roman" w:hAnsi="Times New Roman"/>
          <w:sz w:val="18"/>
          <w:szCs w:val="18"/>
          <w:color w:val="auto"/>
        </w:rPr>
        <w:t>In order to exercise an Option, the Participant must provide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171" w:lineRule="exact"/>
        <w:rPr>
          <w:rFonts w:ascii="Times New Roman" w:cs="Times New Roman" w:eastAsia="Times New Roman" w:hAnsi="Times New Roman"/>
          <w:sz w:val="18"/>
          <w:szCs w:val="18"/>
          <w:b w:val="1"/>
          <w:bCs w:val="1"/>
          <w:color w:val="auto"/>
        </w:rPr>
      </w:pPr>
    </w:p>
    <w:p>
      <w:pPr>
        <w:ind w:left="1320" w:hanging="210"/>
        <w:spacing w:after="0"/>
        <w:tabs>
          <w:tab w:leader="none" w:pos="1320" w:val="left"/>
        </w:tabs>
        <w:numPr>
          <w:ilvl w:val="1"/>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or check, bank draft or money order payable to the Company;</w:t>
      </w:r>
    </w:p>
    <w:p>
      <w:pPr>
        <w:spacing w:after="0" w:line="184" w:lineRule="exact"/>
        <w:rPr>
          <w:rFonts w:ascii="Times New Roman" w:cs="Times New Roman" w:eastAsia="Times New Roman" w:hAnsi="Times New Roman"/>
          <w:sz w:val="18"/>
          <w:szCs w:val="18"/>
          <w:b w:val="1"/>
          <w:bCs w:val="1"/>
          <w:color w:val="auto"/>
        </w:rPr>
      </w:pPr>
    </w:p>
    <w:p>
      <w:pPr>
        <w:ind w:right="60" w:firstLine="1110"/>
        <w:spacing w:after="0" w:line="231" w:lineRule="auto"/>
        <w:tabs>
          <w:tab w:leader="none" w:pos="1366" w:val="left"/>
        </w:tabs>
        <w:numPr>
          <w:ilvl w:val="1"/>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158" w:lineRule="exact"/>
        <w:rPr>
          <w:rFonts w:ascii="Times New Roman" w:cs="Times New Roman" w:eastAsia="Times New Roman" w:hAnsi="Times New Roman"/>
          <w:sz w:val="18"/>
          <w:szCs w:val="18"/>
          <w:b w:val="1"/>
          <w:bCs w:val="1"/>
          <w:color w:val="auto"/>
        </w:rPr>
      </w:pPr>
    </w:p>
    <w:p>
      <w:pPr>
        <w:ind w:right="60" w:firstLine="1110"/>
        <w:spacing w:after="0" w:line="217" w:lineRule="auto"/>
        <w:tabs>
          <w:tab w:leader="none" w:pos="1416" w:val="left"/>
        </w:tabs>
        <w:numPr>
          <w:ilvl w:val="1"/>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the Common Stock is publicly traded at the time of exercise,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61" w:lineRule="exact"/>
        <w:rPr>
          <w:rFonts w:ascii="Times New Roman" w:cs="Times New Roman" w:eastAsia="Times New Roman" w:hAnsi="Times New Roman"/>
          <w:sz w:val="18"/>
          <w:szCs w:val="18"/>
          <w:b w:val="1"/>
          <w:bCs w:val="1"/>
          <w:color w:val="auto"/>
        </w:rPr>
      </w:pPr>
    </w:p>
    <w:p>
      <w:pPr>
        <w:ind w:right="160" w:firstLine="1110"/>
        <w:spacing w:after="0" w:line="224" w:lineRule="auto"/>
        <w:tabs>
          <w:tab w:leader="none" w:pos="1406" w:val="left"/>
        </w:tabs>
        <w:numPr>
          <w:ilvl w:val="1"/>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172" w:lineRule="exact"/>
        <w:rPr>
          <w:rFonts w:ascii="Times New Roman" w:cs="Times New Roman" w:eastAsia="Times New Roman" w:hAnsi="Times New Roman"/>
          <w:sz w:val="18"/>
          <w:szCs w:val="18"/>
          <w:b w:val="1"/>
          <w:bCs w:val="1"/>
          <w:color w:val="auto"/>
        </w:rPr>
      </w:pPr>
    </w:p>
    <w:p>
      <w:pPr>
        <w:ind w:left="1360" w:hanging="250"/>
        <w:spacing w:after="0"/>
        <w:tabs>
          <w:tab w:leader="none" w:pos="1360" w:val="left"/>
        </w:tabs>
        <w:numPr>
          <w:ilvl w:val="1"/>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any other form of consideration that may be acceptable to the Board and permissible under Applicable Law.</w:t>
      </w:r>
    </w:p>
    <w:p>
      <w:pPr>
        <w:spacing w:after="0" w:line="180" w:lineRule="exact"/>
        <w:rPr>
          <w:rFonts w:ascii="Times New Roman" w:cs="Times New Roman" w:eastAsia="Times New Roman" w:hAnsi="Times New Roman"/>
          <w:sz w:val="18"/>
          <w:szCs w:val="18"/>
          <w:b w:val="1"/>
          <w:bCs w:val="1"/>
          <w:color w:val="auto"/>
        </w:rPr>
      </w:pPr>
    </w:p>
    <w:p>
      <w:pPr>
        <w:ind w:right="20" w:firstLine="559"/>
        <w:spacing w:after="0" w:line="218" w:lineRule="auto"/>
        <w:tabs>
          <w:tab w:leader="none" w:pos="815"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Appreciation Distribution for SARs. </w:t>
      </w:r>
      <w:r>
        <w:rPr>
          <w:rFonts w:ascii="Times New Roman" w:cs="Times New Roman" w:eastAsia="Times New Roman" w:hAnsi="Times New Roman"/>
          <w:sz w:val="18"/>
          <w:szCs w:val="18"/>
          <w:color w:val="auto"/>
        </w:rPr>
        <w:t>In order to exercise a SAR, the Participant must provide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to the Plan Administrator in accordance with the procedures specified in the SAR Agreement or otherwise provided by the Company.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55" w:lineRule="exact"/>
        <w:rPr>
          <w:rFonts w:ascii="Times New Roman" w:cs="Times New Roman" w:eastAsia="Times New Roman" w:hAnsi="Times New Roman"/>
          <w:sz w:val="18"/>
          <w:szCs w:val="18"/>
          <w:b w:val="1"/>
          <w:bCs w:val="1"/>
          <w:color w:val="auto"/>
        </w:rPr>
      </w:pPr>
    </w:p>
    <w:p>
      <w:pPr>
        <w:ind w:right="40" w:firstLine="559"/>
        <w:spacing w:after="0" w:line="224" w:lineRule="auto"/>
        <w:tabs>
          <w:tab w:leader="none" w:pos="795"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Options and SARs may not be transferred to third party financial institutions for value. The Board may impose such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an Option is an Incentive Stock Option, such Option may be deemed to be a Nonstatutory Stock Option as a result of such transfer:</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1" w:right="359" w:bottom="1440" w:gutter="0" w:footer="0" w:header="0"/>
        </w:sectPr>
      </w:pPr>
    </w:p>
    <w:bookmarkStart w:id="80" w:name="page81"/>
    <w:bookmarkEnd w:id="80"/>
    <w:p>
      <w:pPr>
        <w:ind w:firstLine="1110"/>
        <w:spacing w:after="0" w:line="224" w:lineRule="auto"/>
        <w:tabs>
          <w:tab w:leader="none" w:pos="1316" w:val="left"/>
        </w:tabs>
        <w:numPr>
          <w:ilvl w:val="1"/>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w:t>
      </w:r>
      <w:r>
        <w:rPr>
          <w:rFonts w:ascii="Times New Roman" w:cs="Times New Roman" w:eastAsia="Times New Roman" w:hAnsi="Times New Roman"/>
          <w:sz w:val="18"/>
          <w:szCs w:val="18"/>
          <w:color w:val="auto"/>
        </w:rPr>
        <w:t>An Option or SAR will not be transferable, except by will or by the laws of descent and distribution,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exercisable during the lifetime of the Participant only by the Participant;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154" w:lineRule="exact"/>
        <w:rPr>
          <w:rFonts w:ascii="Times New Roman" w:cs="Times New Roman" w:eastAsia="Times New Roman" w:hAnsi="Times New Roman"/>
          <w:sz w:val="18"/>
          <w:szCs w:val="18"/>
          <w:b w:val="1"/>
          <w:bCs w:val="1"/>
          <w:color w:val="auto"/>
        </w:rPr>
      </w:pPr>
    </w:p>
    <w:p>
      <w:pPr>
        <w:ind w:right="160" w:firstLine="1110"/>
        <w:spacing w:after="0" w:line="232" w:lineRule="auto"/>
        <w:tabs>
          <w:tab w:leader="none" w:pos="1366" w:val="left"/>
        </w:tabs>
        <w:numPr>
          <w:ilvl w:val="1"/>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Notwithstanding the foregoing, subject to the execution of transfer documentation in a format acceptable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Company and subject to the approval of the Board or a duly authorized Officer, an Option or SAR may be transferred pursuant to a domestic relations order.</w:t>
      </w:r>
    </w:p>
    <w:p>
      <w:pPr>
        <w:spacing w:after="0" w:line="155" w:lineRule="exact"/>
        <w:rPr>
          <w:rFonts w:ascii="Times New Roman" w:cs="Times New Roman" w:eastAsia="Times New Roman" w:hAnsi="Times New Roman"/>
          <w:sz w:val="18"/>
          <w:szCs w:val="18"/>
          <w:b w:val="1"/>
          <w:bCs w:val="1"/>
          <w:color w:val="auto"/>
        </w:rPr>
      </w:pPr>
    </w:p>
    <w:p>
      <w:pPr>
        <w:jc w:val="both"/>
        <w:ind w:right="40" w:firstLine="559"/>
        <w:spacing w:after="0" w:line="232" w:lineRule="auto"/>
        <w:tabs>
          <w:tab w:leader="none" w:pos="775"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and/or exercisability of an Option or SAR as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Except as otherwise provided in the Award Agreement or other written agreement between a Participant and the Company or an Affiliate, vesting of Options and SARs will cease upon termination of the Participant’s Continuous Service.</w:t>
      </w:r>
    </w:p>
    <w:p>
      <w:pPr>
        <w:spacing w:after="0" w:line="155" w:lineRule="exact"/>
        <w:rPr>
          <w:rFonts w:ascii="Times New Roman" w:cs="Times New Roman" w:eastAsia="Times New Roman" w:hAnsi="Times New Roman"/>
          <w:sz w:val="18"/>
          <w:szCs w:val="18"/>
          <w:b w:val="1"/>
          <w:bCs w:val="1"/>
          <w:color w:val="auto"/>
        </w:rPr>
      </w:pPr>
    </w:p>
    <w:p>
      <w:pPr>
        <w:ind w:right="220" w:firstLine="559"/>
        <w:spacing w:after="0" w:line="218" w:lineRule="auto"/>
        <w:tabs>
          <w:tab w:leader="none" w:pos="805"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for Cause. </w:t>
      </w:r>
      <w:r>
        <w:rPr>
          <w:rFonts w:ascii="Times New Roman" w:cs="Times New Roman" w:eastAsia="Times New Roman" w:hAnsi="Times New Roman"/>
          <w:sz w:val="18"/>
          <w:szCs w:val="18"/>
          <w:color w:val="auto"/>
        </w:rPr>
        <w:t>Except as explicitly otherwise provided in the Award Agreement or other written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a Participant and the Company or an Affiliate, if a Participant’s Continuous Service is terminated for Cause, the Participant’s Options and SARs will terminate and be forfeited immediately upon such termination of Continuous Service, the Participant will be prohibited from exercising any portion (including any vested portion) of such Awards on and after the date of such termination of Continuous Service, and the Participant will have no further right, title or interest in the forfeited Award, the shares of Common Stock subject to the forfeited Award, or any consideration in respect of the forfeited Award.</w:t>
      </w:r>
    </w:p>
    <w:p>
      <w:pPr>
        <w:spacing w:after="0" w:line="167" w:lineRule="exact"/>
        <w:rPr>
          <w:rFonts w:ascii="Times New Roman" w:cs="Times New Roman" w:eastAsia="Times New Roman" w:hAnsi="Times New Roman"/>
          <w:sz w:val="18"/>
          <w:szCs w:val="18"/>
          <w:b w:val="1"/>
          <w:bCs w:val="1"/>
          <w:color w:val="auto"/>
        </w:rPr>
      </w:pPr>
    </w:p>
    <w:p>
      <w:pPr>
        <w:ind w:right="20" w:firstLine="559"/>
        <w:spacing w:after="0" w:line="218" w:lineRule="auto"/>
        <w:tabs>
          <w:tab w:leader="none" w:pos="815"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Post-Termination Exercise Period Following Termination of Continuous Service for Reasons Other than for Cause. </w:t>
      </w:r>
      <w:r>
        <w:rPr>
          <w:rFonts w:ascii="Times New Roman" w:cs="Times New Roman" w:eastAsia="Times New Roman" w:hAnsi="Times New Roman"/>
          <w:sz w:val="18"/>
          <w:szCs w:val="18"/>
          <w:color w:val="auto"/>
        </w:rPr>
        <w:t>Except as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provided in the Award Agreement or other written agreement between a Participant and the Company or an Affiliate, subject to 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no event may such Award be exercised after the expiration of its maximum term (as set forth in Section 4(a)):</w:t>
      </w:r>
    </w:p>
    <w:p>
      <w:pPr>
        <w:spacing w:after="0" w:line="171" w:lineRule="exact"/>
        <w:rPr>
          <w:rFonts w:ascii="Times New Roman" w:cs="Times New Roman" w:eastAsia="Times New Roman" w:hAnsi="Times New Roman"/>
          <w:sz w:val="18"/>
          <w:szCs w:val="18"/>
          <w:b w:val="1"/>
          <w:bCs w:val="1"/>
          <w:color w:val="auto"/>
        </w:rPr>
      </w:pPr>
    </w:p>
    <w:p>
      <w:pPr>
        <w:ind w:right="40" w:firstLine="1110"/>
        <w:spacing w:after="0" w:line="237" w:lineRule="auto"/>
        <w:tabs>
          <w:tab w:leader="none" w:pos="1316"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three months following the date of such termination if such termination is a termination without Cause (other than any termination due to the Participant’s Disability or death);</w:t>
      </w:r>
    </w:p>
    <w:p>
      <w:pPr>
        <w:spacing w:after="0" w:line="158" w:lineRule="exact"/>
        <w:rPr>
          <w:rFonts w:ascii="Times New Roman" w:cs="Times New Roman" w:eastAsia="Times New Roman" w:hAnsi="Times New Roman"/>
          <w:sz w:val="18"/>
          <w:szCs w:val="18"/>
          <w:b w:val="1"/>
          <w:bCs w:val="1"/>
          <w:color w:val="auto"/>
        </w:rPr>
      </w:pPr>
    </w:p>
    <w:p>
      <w:pPr>
        <w:ind w:left="1380" w:hanging="270"/>
        <w:spacing w:after="0"/>
        <w:tabs>
          <w:tab w:leader="none" w:pos="1380"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following the date of such termination if such termination is due to the Participant’s Disability;</w:t>
      </w:r>
    </w:p>
    <w:p>
      <w:pPr>
        <w:spacing w:after="0" w:line="198" w:lineRule="exact"/>
        <w:rPr>
          <w:rFonts w:ascii="Times New Roman" w:cs="Times New Roman" w:eastAsia="Times New Roman" w:hAnsi="Times New Roman"/>
          <w:sz w:val="18"/>
          <w:szCs w:val="18"/>
          <w:b w:val="1"/>
          <w:bCs w:val="1"/>
          <w:color w:val="auto"/>
        </w:rPr>
      </w:pPr>
    </w:p>
    <w:p>
      <w:pPr>
        <w:ind w:left="1420" w:hanging="310"/>
        <w:spacing w:after="0"/>
        <w:tabs>
          <w:tab w:leader="none" w:pos="1420"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such termination if such termination is due to the Participant’s death; or</w:t>
      </w:r>
    </w:p>
    <w:p>
      <w:pPr>
        <w:spacing w:after="0" w:line="184" w:lineRule="exact"/>
        <w:rPr>
          <w:rFonts w:ascii="Times New Roman" w:cs="Times New Roman" w:eastAsia="Times New Roman" w:hAnsi="Times New Roman"/>
          <w:sz w:val="18"/>
          <w:szCs w:val="18"/>
          <w:b w:val="1"/>
          <w:bCs w:val="1"/>
          <w:color w:val="auto"/>
        </w:rPr>
      </w:pPr>
    </w:p>
    <w:p>
      <w:pPr>
        <w:ind w:right="40" w:firstLine="1110"/>
        <w:spacing w:after="0" w:line="237" w:lineRule="auto"/>
        <w:tabs>
          <w:tab w:leader="none" w:pos="1406"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the Participant’s death if such death occurs following the date of such termination but during the period such Award is otherwise exercisable (as provided in (i) or (ii) above).</w:t>
      </w:r>
    </w:p>
    <w:p>
      <w:pPr>
        <w:spacing w:after="0" w:line="172" w:lineRule="exact"/>
        <w:rPr>
          <w:sz w:val="20"/>
          <w:szCs w:val="20"/>
          <w:color w:val="auto"/>
        </w:rPr>
      </w:pPr>
    </w:p>
    <w:p>
      <w:pPr>
        <w:ind w:right="20" w:firstLine="551"/>
        <w:spacing w:after="0" w:line="216" w:lineRule="auto"/>
        <w:rPr>
          <w:sz w:val="20"/>
          <w:szCs w:val="20"/>
          <w:color w:val="auto"/>
        </w:rPr>
      </w:pPr>
      <w:r>
        <w:rPr>
          <w:rFonts w:ascii="Times New Roman" w:cs="Times New Roman" w:eastAsia="Times New Roman" w:hAnsi="Times New Roman"/>
          <w:sz w:val="18"/>
          <w:szCs w:val="18"/>
          <w:color w:val="auto"/>
        </w:rPr>
        <w:t>Following the date of such termination or death, as applicable,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 or any consideration in respect of the terminated Award.</w:t>
      </w:r>
    </w:p>
    <w:p>
      <w:pPr>
        <w:spacing w:after="0" w:line="161" w:lineRule="exact"/>
        <w:rPr>
          <w:sz w:val="20"/>
          <w:szCs w:val="20"/>
          <w:color w:val="auto"/>
        </w:rPr>
      </w:pPr>
    </w:p>
    <w:p>
      <w:pPr>
        <w:ind w:firstLine="559"/>
        <w:spacing w:after="0" w:line="215" w:lineRule="auto"/>
        <w:tabs>
          <w:tab w:leader="none" w:pos="765"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Exercise; Extension of Exercisability. </w:t>
      </w:r>
      <w:r>
        <w:rPr>
          <w:rFonts w:ascii="Times New Roman" w:cs="Times New Roman" w:eastAsia="Times New Roman" w:hAnsi="Times New Roman"/>
          <w:sz w:val="18"/>
          <w:szCs w:val="18"/>
          <w:color w:val="auto"/>
        </w:rPr>
        <w:t>A Participant may not exercise an Option or SAR at any time that the issuance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no event may such Award be exercised after the expiration of its maximum term (as set forth in Section 4(a)).</w:t>
      </w:r>
    </w:p>
    <w:p>
      <w:pPr>
        <w:spacing w:after="0" w:line="157" w:lineRule="exact"/>
        <w:rPr>
          <w:rFonts w:ascii="Times New Roman" w:cs="Times New Roman" w:eastAsia="Times New Roman" w:hAnsi="Times New Roman"/>
          <w:sz w:val="18"/>
          <w:szCs w:val="18"/>
          <w:b w:val="1"/>
          <w:bCs w:val="1"/>
          <w:color w:val="auto"/>
        </w:rPr>
      </w:pPr>
    </w:p>
    <w:p>
      <w:pPr>
        <w:ind w:right="20" w:firstLine="559"/>
        <w:spacing w:after="0" w:line="218" w:lineRule="auto"/>
        <w:tabs>
          <w:tab w:leader="none" w:pos="775"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Non-Exempt Employees. </w:t>
      </w:r>
      <w:r>
        <w:rPr>
          <w:rFonts w:ascii="Times New Roman" w:cs="Times New Roman" w:eastAsia="Times New Roman" w:hAnsi="Times New Roman"/>
          <w:sz w:val="18"/>
          <w:szCs w:val="18"/>
          <w:color w:val="auto"/>
        </w:rPr>
        <w:t>No Option or SAR, whether or not vested, granted to an Employee who is a non-exempt employee for purposes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w:t>
      </w:r>
    </w:p>
    <w:p>
      <w:pPr>
        <w:ind w:firstLine="8"/>
        <w:spacing w:after="0" w:line="218" w:lineRule="auto"/>
        <w:tabs>
          <w:tab w:leader="none" w:pos="26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ectPr>
          <w:pgSz w:w="11900" w:h="16838" w:orient="portrait"/>
          <w:cols w:equalWidth="0" w:num="1">
            <w:col w:w="11240"/>
          </w:cols>
          <w:pgMar w:left="320" w:top="12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type w:val="continuous"/>
        </w:sectPr>
      </w:pPr>
    </w:p>
    <w:bookmarkStart w:id="81" w:name="page82"/>
    <w:bookmarkEnd w:id="81"/>
    <w:p>
      <w:pPr>
        <w:ind w:left="812" w:hanging="261"/>
        <w:spacing w:after="0"/>
        <w:tabs>
          <w:tab w:leader="none" w:pos="812" w:val="left"/>
        </w:tabs>
        <w:numPr>
          <w:ilvl w:val="1"/>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Whole Shares. </w:t>
      </w:r>
      <w:r>
        <w:rPr>
          <w:rFonts w:ascii="Times New Roman" w:cs="Times New Roman" w:eastAsia="Times New Roman" w:hAnsi="Times New Roman"/>
          <w:sz w:val="18"/>
          <w:szCs w:val="18"/>
          <w:color w:val="auto"/>
        </w:rPr>
        <w:t>Options and SARs may be exercised only with respect to whole shares of Common Stock or their equivalents.</w:t>
      </w:r>
    </w:p>
    <w:p>
      <w:pPr>
        <w:spacing w:after="0" w:line="198" w:lineRule="exact"/>
        <w:rPr>
          <w:rFonts w:ascii="Times New Roman" w:cs="Times New Roman" w:eastAsia="Times New Roman" w:hAnsi="Times New Roman"/>
          <w:sz w:val="18"/>
          <w:szCs w:val="18"/>
          <w:b w:val="1"/>
          <w:bCs w:val="1"/>
          <w:color w:val="auto"/>
        </w:rPr>
      </w:pPr>
    </w:p>
    <w:p>
      <w:pPr>
        <w:ind w:left="172" w:hanging="172"/>
        <w:spacing w:after="0"/>
        <w:tabs>
          <w:tab w:leader="none" w:pos="172"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WARDS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3"/>
          <w:szCs w:val="13"/>
          <w:b w:val="1"/>
          <w:bCs w:val="1"/>
          <w:color w:val="auto"/>
        </w:rPr>
        <w:t>HAN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3"/>
          <w:szCs w:val="13"/>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IGHTS</w:t>
      </w:r>
      <w:r>
        <w:rPr>
          <w:rFonts w:ascii="Times New Roman" w:cs="Times New Roman" w:eastAsia="Times New Roman" w:hAnsi="Times New Roman"/>
          <w:sz w:val="18"/>
          <w:szCs w:val="18"/>
          <w:b w:val="1"/>
          <w:bCs w:val="1"/>
          <w:color w:val="auto"/>
        </w:rPr>
        <w:t>.</w:t>
      </w:r>
    </w:p>
    <w:p>
      <w:pPr>
        <w:spacing w:after="0" w:line="184" w:lineRule="exact"/>
        <w:rPr>
          <w:rFonts w:ascii="Times New Roman" w:cs="Times New Roman" w:eastAsia="Times New Roman" w:hAnsi="Times New Roman"/>
          <w:sz w:val="18"/>
          <w:szCs w:val="18"/>
          <w:b w:val="1"/>
          <w:bCs w:val="1"/>
          <w:color w:val="auto"/>
        </w:rPr>
      </w:pPr>
    </w:p>
    <w:p>
      <w:pPr>
        <w:ind w:left="-8" w:right="60" w:firstLine="559"/>
        <w:spacing w:after="0" w:line="225" w:lineRule="auto"/>
        <w:tabs>
          <w:tab w:leader="none" w:pos="797" w:val="left"/>
        </w:tabs>
        <w:numPr>
          <w:ilvl w:val="1"/>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Awards and RSU Awards. </w:t>
      </w:r>
      <w:r>
        <w:rPr>
          <w:rFonts w:ascii="Times New Roman" w:cs="Times New Roman" w:eastAsia="Times New Roman" w:hAnsi="Times New Roman"/>
          <w:sz w:val="18"/>
          <w:szCs w:val="18"/>
          <w:color w:val="auto"/>
        </w:rPr>
        <w:t>Each Restricted Stock Award and RSU Award will have such terms and conditions as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the Board. The terms and conditions of separate Restricted Stock Awards and RSU Awards need not be identical;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each Restricted Stock Award Agreement and RSU Award Agreement will conform (through incorporation of the provisions hereof by reference in the Award Agreement or otherwise) to the substance of each of the following provisions:</w:t>
      </w:r>
    </w:p>
    <w:p>
      <w:pPr>
        <w:spacing w:after="0" w:line="155" w:lineRule="exact"/>
        <w:rPr>
          <w:rFonts w:ascii="Times New Roman" w:cs="Times New Roman" w:eastAsia="Times New Roman" w:hAnsi="Times New Roman"/>
          <w:sz w:val="18"/>
          <w:szCs w:val="18"/>
          <w:b w:val="1"/>
          <w:bCs w:val="1"/>
          <w:color w:val="auto"/>
        </w:rPr>
      </w:pPr>
    </w:p>
    <w:p>
      <w:pPr>
        <w:ind w:left="1312" w:hanging="210"/>
        <w:spacing w:after="0"/>
        <w:tabs>
          <w:tab w:leader="none" w:pos="1312" w:val="left"/>
        </w:tabs>
        <w:numPr>
          <w:ilvl w:val="2"/>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of Award.</w:t>
      </w:r>
    </w:p>
    <w:p>
      <w:pPr>
        <w:spacing w:after="0" w:line="198" w:lineRule="exact"/>
        <w:rPr>
          <w:rFonts w:ascii="Times New Roman" w:cs="Times New Roman" w:eastAsia="Times New Roman" w:hAnsi="Times New Roman"/>
          <w:sz w:val="18"/>
          <w:szCs w:val="18"/>
          <w:b w:val="1"/>
          <w:bCs w:val="1"/>
          <w:color w:val="auto"/>
        </w:rPr>
      </w:pPr>
    </w:p>
    <w:p>
      <w:pPr>
        <w:ind w:left="-8" w:right="100" w:firstLine="2211"/>
        <w:spacing w:after="0" w:line="221" w:lineRule="auto"/>
        <w:tabs>
          <w:tab w:leader="none" w:pos="2450" w:val="left"/>
        </w:tabs>
        <w:numPr>
          <w:ilvl w:val="3"/>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Awards. </w:t>
      </w:r>
      <w:r>
        <w:rPr>
          <w:rFonts w:ascii="Times New Roman" w:cs="Times New Roman" w:eastAsia="Times New Roman" w:hAnsi="Times New Roman"/>
          <w:sz w:val="18"/>
          <w:szCs w:val="18"/>
          <w:color w:val="auto"/>
        </w:rPr>
        <w:t>To the extent consistent with the Company’s Bylaws, at the Board’s election,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154" w:lineRule="exact"/>
        <w:rPr>
          <w:rFonts w:ascii="Times New Roman" w:cs="Times New Roman" w:eastAsia="Times New Roman" w:hAnsi="Times New Roman"/>
          <w:sz w:val="18"/>
          <w:szCs w:val="18"/>
          <w:b w:val="1"/>
          <w:bCs w:val="1"/>
          <w:color w:val="auto"/>
        </w:rPr>
      </w:pPr>
    </w:p>
    <w:p>
      <w:pPr>
        <w:ind w:left="-8" w:right="180" w:firstLine="2211"/>
        <w:spacing w:after="0" w:line="218" w:lineRule="auto"/>
        <w:tabs>
          <w:tab w:leader="none" w:pos="2450" w:val="left"/>
        </w:tabs>
        <w:numPr>
          <w:ilvl w:val="3"/>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RSU Awards. </w:t>
      </w:r>
      <w:r>
        <w:rPr>
          <w:rFonts w:ascii="Times New Roman" w:cs="Times New Roman" w:eastAsia="Times New Roman" w:hAnsi="Times New Roman"/>
          <w:sz w:val="18"/>
          <w:szCs w:val="18"/>
          <w:color w:val="auto"/>
        </w:rPr>
        <w:t>A RSU Award represents a Participant’s right to be issued on a future date the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that is equal to the number of restricted stock units subject to the RSU Award. As a holder of a RSU Award, a Participant is an unsecured creditor of the Company with respect to the Company’s unfunded obligation, if any, to issue shares of Common Stock in settlement of such Award and nothing contained in the Plan or any RSU Award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 RSU Award (unless and until shares are actually issued in settlement of a vested RSU Award).</w:t>
      </w:r>
    </w:p>
    <w:p>
      <w:pPr>
        <w:spacing w:after="0" w:line="128" w:lineRule="exact"/>
        <w:rPr>
          <w:rFonts w:ascii="Times New Roman" w:cs="Times New Roman" w:eastAsia="Times New Roman" w:hAnsi="Times New Roman"/>
          <w:sz w:val="18"/>
          <w:szCs w:val="18"/>
          <w:b w:val="1"/>
          <w:bCs w:val="1"/>
          <w:color w:val="auto"/>
        </w:rPr>
      </w:pPr>
    </w:p>
    <w:p>
      <w:pPr>
        <w:ind w:left="1372" w:hanging="270"/>
        <w:spacing w:after="0"/>
        <w:tabs>
          <w:tab w:leader="none" w:pos="1372" w:val="left"/>
        </w:tabs>
        <w:numPr>
          <w:ilvl w:val="2"/>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p>
    <w:p>
      <w:pPr>
        <w:spacing w:after="0" w:line="184" w:lineRule="exact"/>
        <w:rPr>
          <w:rFonts w:ascii="Times New Roman" w:cs="Times New Roman" w:eastAsia="Times New Roman" w:hAnsi="Times New Roman"/>
          <w:sz w:val="18"/>
          <w:szCs w:val="18"/>
          <w:b w:val="1"/>
          <w:bCs w:val="1"/>
          <w:color w:val="auto"/>
        </w:rPr>
      </w:pPr>
    </w:p>
    <w:p>
      <w:pPr>
        <w:ind w:left="-8" w:right="160" w:firstLine="2211"/>
        <w:spacing w:after="0" w:line="232" w:lineRule="auto"/>
        <w:tabs>
          <w:tab w:leader="none" w:pos="2450" w:val="left"/>
        </w:tabs>
        <w:numPr>
          <w:ilvl w:val="3"/>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Awards. </w:t>
      </w:r>
      <w:r>
        <w:rPr>
          <w:rFonts w:ascii="Times New Roman" w:cs="Times New Roman" w:eastAsia="Times New Roman" w:hAnsi="Times New Roman"/>
          <w:sz w:val="18"/>
          <w:szCs w:val="18"/>
          <w:color w:val="auto"/>
        </w:rPr>
        <w:t>A Restricted Stock Award may be granted in consideration for (A) cash or check, bank draft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money order payable to the Company, (B) past services to the Company or an Affiliate, or (C) any other form of consideration (including future services) as the Board may determine and permissible under Applicable Law.</w:t>
      </w:r>
    </w:p>
    <w:p>
      <w:pPr>
        <w:spacing w:after="0" w:line="155" w:lineRule="exact"/>
        <w:rPr>
          <w:rFonts w:ascii="Times New Roman" w:cs="Times New Roman" w:eastAsia="Times New Roman" w:hAnsi="Times New Roman"/>
          <w:sz w:val="18"/>
          <w:szCs w:val="18"/>
          <w:b w:val="1"/>
          <w:bCs w:val="1"/>
          <w:color w:val="auto"/>
        </w:rPr>
      </w:pPr>
    </w:p>
    <w:p>
      <w:pPr>
        <w:ind w:left="-8" w:right="100" w:firstLine="2211"/>
        <w:spacing w:after="0" w:line="220" w:lineRule="auto"/>
        <w:tabs>
          <w:tab w:leader="none" w:pos="2450" w:val="left"/>
        </w:tabs>
        <w:numPr>
          <w:ilvl w:val="3"/>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RSU Awards. </w:t>
      </w:r>
      <w:r>
        <w:rPr>
          <w:rFonts w:ascii="Times New Roman" w:cs="Times New Roman" w:eastAsia="Times New Roman" w:hAnsi="Times New Roman"/>
          <w:sz w:val="18"/>
          <w:szCs w:val="18"/>
          <w:color w:val="auto"/>
        </w:rPr>
        <w:t>Unless otherwise determined by the Board at the time of grant, a RSU Award will be granted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157" w:lineRule="exact"/>
        <w:rPr>
          <w:rFonts w:ascii="Times New Roman" w:cs="Times New Roman" w:eastAsia="Times New Roman" w:hAnsi="Times New Roman"/>
          <w:sz w:val="18"/>
          <w:szCs w:val="18"/>
          <w:b w:val="1"/>
          <w:bCs w:val="1"/>
          <w:color w:val="auto"/>
        </w:rPr>
      </w:pPr>
    </w:p>
    <w:p>
      <w:pPr>
        <w:ind w:left="-8" w:right="140" w:firstLine="1110"/>
        <w:spacing w:after="0" w:line="232" w:lineRule="auto"/>
        <w:tabs>
          <w:tab w:leader="none" w:pos="1408" w:val="left"/>
        </w:tabs>
        <w:numPr>
          <w:ilvl w:val="2"/>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of a Restricted Stock Award or RSU Award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55" w:lineRule="exact"/>
        <w:rPr>
          <w:rFonts w:ascii="Times New Roman" w:cs="Times New Roman" w:eastAsia="Times New Roman" w:hAnsi="Times New Roman"/>
          <w:sz w:val="18"/>
          <w:szCs w:val="18"/>
          <w:b w:val="1"/>
          <w:bCs w:val="1"/>
          <w:color w:val="auto"/>
        </w:rPr>
      </w:pPr>
    </w:p>
    <w:p>
      <w:pPr>
        <w:ind w:left="-8" w:firstLine="1110"/>
        <w:spacing w:after="0" w:line="220" w:lineRule="auto"/>
        <w:tabs>
          <w:tab w:leader="none" w:pos="1398" w:val="left"/>
        </w:tabs>
        <w:numPr>
          <w:ilvl w:val="2"/>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w:t>
      </w:r>
      <w:r>
        <w:rPr>
          <w:rFonts w:ascii="Times New Roman" w:cs="Times New Roman" w:eastAsia="Times New Roman" w:hAnsi="Times New Roman"/>
          <w:sz w:val="18"/>
          <w:szCs w:val="18"/>
          <w:color w:val="auto"/>
        </w:rPr>
        <w:t>Except as otherwise provided in the Award Agreement or other written agreement between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and the Company or an Affiliate,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(2) any portion of the Participant’s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57" w:lineRule="exact"/>
        <w:rPr>
          <w:rFonts w:ascii="Times New Roman" w:cs="Times New Roman" w:eastAsia="Times New Roman" w:hAnsi="Times New Roman"/>
          <w:sz w:val="18"/>
          <w:szCs w:val="18"/>
          <w:b w:val="1"/>
          <w:bCs w:val="1"/>
          <w:color w:val="auto"/>
        </w:rPr>
      </w:pPr>
    </w:p>
    <w:p>
      <w:pPr>
        <w:jc w:val="both"/>
        <w:ind w:left="-8" w:right="340" w:firstLine="1110"/>
        <w:spacing w:after="0" w:line="232" w:lineRule="auto"/>
        <w:tabs>
          <w:tab w:leader="none" w:pos="1348" w:val="left"/>
        </w:tabs>
        <w:numPr>
          <w:ilvl w:val="2"/>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Settlement of RSU Awards. </w:t>
      </w:r>
      <w:r>
        <w:rPr>
          <w:rFonts w:ascii="Times New Roman" w:cs="Times New Roman" w:eastAsia="Times New Roman" w:hAnsi="Times New Roman"/>
          <w:sz w:val="18"/>
          <w:szCs w:val="18"/>
          <w:color w:val="auto"/>
        </w:rPr>
        <w:t>A RSU Award may be settled by the issuance of shares of Common Stock or cash (or any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155" w:lineRule="exact"/>
        <w:rPr>
          <w:rFonts w:ascii="Times New Roman" w:cs="Times New Roman" w:eastAsia="Times New Roman" w:hAnsi="Times New Roman"/>
          <w:sz w:val="18"/>
          <w:szCs w:val="18"/>
          <w:b w:val="1"/>
          <w:bCs w:val="1"/>
          <w:color w:val="auto"/>
        </w:rPr>
      </w:pPr>
    </w:p>
    <w:p>
      <w:pPr>
        <w:ind w:left="-8" w:right="160" w:firstLine="559"/>
        <w:spacing w:after="0" w:line="221" w:lineRule="auto"/>
        <w:tabs>
          <w:tab w:leader="none" w:pos="807" w:val="left"/>
        </w:tabs>
        <w:numPr>
          <w:ilvl w:val="1"/>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Performance Awards. </w:t>
      </w:r>
      <w:r>
        <w:rPr>
          <w:rFonts w:ascii="Times New Roman" w:cs="Times New Roman" w:eastAsia="Times New Roman" w:hAnsi="Times New Roman"/>
          <w:sz w:val="18"/>
          <w:szCs w:val="18"/>
          <w:color w:val="auto"/>
        </w:rPr>
        <w:t>With respect to any Performance Award, the length of any Performance Period, the Performance Goals to be achieved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Performance Period, the other terms and conditions of such Award, and the measure of whether and to what degree such Performance Goals have been attained will be determined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11" w:right="339" w:bottom="1440" w:gutter="0" w:footer="0" w:header="0"/>
        </w:sectPr>
      </w:pPr>
    </w:p>
    <w:bookmarkStart w:id="82" w:name="page83"/>
    <w:bookmarkEnd w:id="82"/>
    <w:p>
      <w:pPr>
        <w:ind w:left="-8" w:right="80" w:firstLine="559"/>
        <w:spacing w:after="0" w:line="224" w:lineRule="auto"/>
        <w:tabs>
          <w:tab w:leader="none" w:pos="787"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Awards. </w:t>
      </w:r>
      <w:r>
        <w:rPr>
          <w:rFonts w:ascii="Times New Roman" w:cs="Times New Roman" w:eastAsia="Times New Roman" w:hAnsi="Times New Roman"/>
          <w:sz w:val="18"/>
          <w:szCs w:val="18"/>
          <w:color w:val="auto"/>
        </w:rPr>
        <w:t>Other forms of Awards valued in whole or in part by reference to, or otherwise based on, Common Stock may be granted either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154" w:lineRule="exact"/>
        <w:rPr>
          <w:rFonts w:ascii="Times New Roman" w:cs="Times New Roman" w:eastAsia="Times New Roman" w:hAnsi="Times New Roman"/>
          <w:sz w:val="18"/>
          <w:szCs w:val="18"/>
          <w:b w:val="1"/>
          <w:bCs w:val="1"/>
          <w:color w:val="auto"/>
        </w:rPr>
      </w:pPr>
    </w:p>
    <w:p>
      <w:pPr>
        <w:ind w:left="172" w:hanging="172"/>
        <w:spacing w:after="0"/>
        <w:tabs>
          <w:tab w:leader="none" w:pos="172"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DJUSTMENTS UPON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ORPORATE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3"/>
          <w:szCs w:val="13"/>
          <w:b w:val="1"/>
          <w:bCs w:val="1"/>
          <w:color w:val="auto"/>
        </w:rPr>
        <w:t>VENTS</w:t>
      </w:r>
      <w:r>
        <w:rPr>
          <w:rFonts w:ascii="Times New Roman" w:cs="Times New Roman" w:eastAsia="Times New Roman" w:hAnsi="Times New Roman"/>
          <w:sz w:val="18"/>
          <w:szCs w:val="18"/>
          <w:b w:val="1"/>
          <w:bCs w:val="1"/>
          <w:color w:val="auto"/>
        </w:rPr>
        <w:t>.</w:t>
      </w:r>
    </w:p>
    <w:p>
      <w:pPr>
        <w:spacing w:after="0" w:line="184" w:lineRule="exact"/>
        <w:rPr>
          <w:rFonts w:ascii="Times New Roman" w:cs="Times New Roman" w:eastAsia="Times New Roman" w:hAnsi="Times New Roman"/>
          <w:sz w:val="18"/>
          <w:szCs w:val="18"/>
          <w:b w:val="1"/>
          <w:bCs w:val="1"/>
          <w:color w:val="auto"/>
        </w:rPr>
      </w:pPr>
    </w:p>
    <w:p>
      <w:pPr>
        <w:ind w:left="-8" w:right="60" w:firstLine="559"/>
        <w:spacing w:after="0" w:line="231" w:lineRule="auto"/>
        <w:tabs>
          <w:tab w:leader="none" w:pos="797" w:val="left"/>
        </w:tabs>
        <w:numPr>
          <w:ilvl w:val="1"/>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Capitalization Adjustments. </w:t>
      </w:r>
      <w:r>
        <w:rPr>
          <w:rFonts w:ascii="Times New Roman" w:cs="Times New Roman" w:eastAsia="Times New Roman" w:hAnsi="Times New Roman"/>
          <w:sz w:val="17"/>
          <w:szCs w:val="17"/>
          <w:color w:val="auto"/>
        </w:rPr>
        <w:t>In the event of a Capitalization Adjustment, the Board will appropriately and proportionately adjust: (i)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class(es) and maximum number of shares of Common Stock subject to the Plan pursuant to Section 2(a); (ii) the class(es) and maximum number of shares of Common Stock that may be issued pursuant to the exercise of Incentive Stock Options pursuant to Section 3(c); and (iii) the class(es) and number of shares of Common Stock and the exercise, strike or purchase price of Common Stock subject to outstanding Awards. The Board will make such adjustments, and its determination will be final, binding and conclusive. Notwithstanding the foregoing, no fractional shares or rights for fractional shares of Common Stock will be created in order to implement any Capitalization Adjustment. The Board will determine an appropriate equivalent benefit, if any, for any fractional shares or rights to fractional shares that may be created by the adjustments referred to in the preceding provisions of this Section 6(a).</w:t>
      </w:r>
    </w:p>
    <w:p>
      <w:pPr>
        <w:spacing w:after="0" w:line="167" w:lineRule="exact"/>
        <w:rPr>
          <w:rFonts w:ascii="Times New Roman" w:cs="Times New Roman" w:eastAsia="Times New Roman" w:hAnsi="Times New Roman"/>
          <w:sz w:val="17"/>
          <w:szCs w:val="17"/>
          <w:b w:val="1"/>
          <w:bCs w:val="1"/>
          <w:color w:val="auto"/>
        </w:rPr>
      </w:pPr>
    </w:p>
    <w:p>
      <w:pPr>
        <w:ind w:left="-8" w:right="120" w:firstLine="559"/>
        <w:spacing w:after="0" w:line="221" w:lineRule="auto"/>
        <w:tabs>
          <w:tab w:leader="none" w:pos="807" w:val="left"/>
        </w:tabs>
        <w:numPr>
          <w:ilvl w:val="1"/>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Dissolution or Liquidation. </w:t>
      </w:r>
      <w:r>
        <w:rPr>
          <w:rFonts w:ascii="Times New Roman" w:cs="Times New Roman" w:eastAsia="Times New Roman" w:hAnsi="Times New Roman"/>
          <w:sz w:val="18"/>
          <w:szCs w:val="18"/>
          <w:color w:val="auto"/>
        </w:rPr>
        <w:t>Except as otherwise provided in the Award Agreement or other written agreement between a Participant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 Affiliate, in the event of a 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a forfeiture condition or the Company’s right of repurchase may be reacquired or repurchased by the Company notwithstanding the fact that the holder of such Award is providing Continuous Service.</w:t>
      </w:r>
    </w:p>
    <w:p>
      <w:pPr>
        <w:spacing w:after="0" w:line="154" w:lineRule="exact"/>
        <w:rPr>
          <w:rFonts w:ascii="Times New Roman" w:cs="Times New Roman" w:eastAsia="Times New Roman" w:hAnsi="Times New Roman"/>
          <w:sz w:val="18"/>
          <w:szCs w:val="18"/>
          <w:b w:val="1"/>
          <w:bCs w:val="1"/>
          <w:color w:val="auto"/>
        </w:rPr>
      </w:pPr>
    </w:p>
    <w:p>
      <w:pPr>
        <w:ind w:left="-8" w:firstLine="559"/>
        <w:spacing w:after="0" w:line="232" w:lineRule="auto"/>
        <w:tabs>
          <w:tab w:leader="none" w:pos="787" w:val="left"/>
        </w:tabs>
        <w:numPr>
          <w:ilvl w:val="1"/>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Transaction. </w:t>
      </w:r>
      <w:r>
        <w:rPr>
          <w:rFonts w:ascii="Times New Roman" w:cs="Times New Roman" w:eastAsia="Times New Roman" w:hAnsi="Times New Roman"/>
          <w:sz w:val="18"/>
          <w:szCs w:val="18"/>
          <w:color w:val="auto"/>
        </w:rPr>
        <w:t>In the event of a Transaction, the provisions of this Section 6(c) will apply to each outstanding Award unless otherwise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instrument evidencing the Award, in any other written agreement between a Participant and the Company or an Affiliate, or in any director compensation policy of the Company.</w:t>
      </w:r>
    </w:p>
    <w:p>
      <w:pPr>
        <w:spacing w:after="0" w:line="155" w:lineRule="exact"/>
        <w:rPr>
          <w:rFonts w:ascii="Times New Roman" w:cs="Times New Roman" w:eastAsia="Times New Roman" w:hAnsi="Times New Roman"/>
          <w:sz w:val="18"/>
          <w:szCs w:val="18"/>
          <w:b w:val="1"/>
          <w:bCs w:val="1"/>
          <w:color w:val="auto"/>
        </w:rPr>
      </w:pPr>
    </w:p>
    <w:p>
      <w:pPr>
        <w:ind w:left="-8" w:right="40" w:firstLine="1110"/>
        <w:spacing w:after="0" w:line="218" w:lineRule="auto"/>
        <w:tabs>
          <w:tab w:leader="none" w:pos="1308" w:val="left"/>
        </w:tabs>
        <w:numPr>
          <w:ilvl w:val="2"/>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May Be Assumed. </w:t>
      </w:r>
      <w:r>
        <w:rPr>
          <w:rFonts w:ascii="Times New Roman" w:cs="Times New Roman" w:eastAsia="Times New Roman" w:hAnsi="Times New Roman"/>
          <w:sz w:val="18"/>
          <w:szCs w:val="18"/>
          <w:color w:val="auto"/>
        </w:rPr>
        <w:t>In the event of a Transaction, the Acquiring Entity may assume or continue any or all outstanding Awards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substitute similar awards for any or all outstanding Awards (including but not limited to, awards to acquire the same consideration paid to the stockholders of the Company pursuant to the Transaction), and any reacquisition or repurchase rights held by the Company in respect of Common Stock issued pursuant to outstanding Awards may be assigned by the Company to the Acquiring Entity. For clarity, in the event of a Transaction, the Acquiring Entity may choose to assume or continue only a portion of an outstanding Award, to substitute a similar award for only a portion of an outstanding Award, or to assume or continue, or substitute similar awards for, the outstanding Awards held by some, but not all, Participants. The terms of any assumption, continuation or substitution will be set by the Board.</w:t>
      </w:r>
    </w:p>
    <w:p>
      <w:pPr>
        <w:spacing w:after="0" w:line="155" w:lineRule="exact"/>
        <w:rPr>
          <w:rFonts w:ascii="Times New Roman" w:cs="Times New Roman" w:eastAsia="Times New Roman" w:hAnsi="Times New Roman"/>
          <w:sz w:val="18"/>
          <w:szCs w:val="18"/>
          <w:b w:val="1"/>
          <w:bCs w:val="1"/>
          <w:color w:val="auto"/>
        </w:rPr>
      </w:pPr>
    </w:p>
    <w:p>
      <w:pPr>
        <w:ind w:left="-8" w:firstLine="1110"/>
        <w:spacing w:after="0" w:line="214" w:lineRule="auto"/>
        <w:tabs>
          <w:tab w:leader="none" w:pos="1358" w:val="left"/>
        </w:tabs>
        <w:numPr>
          <w:ilvl w:val="2"/>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Current Employee and Director Participants. </w:t>
      </w:r>
      <w:r>
        <w:rPr>
          <w:rFonts w:ascii="Times New Roman" w:cs="Times New Roman" w:eastAsia="Times New Roman" w:hAnsi="Times New Roman"/>
          <w:sz w:val="18"/>
          <w:szCs w:val="18"/>
          <w:color w:val="auto"/>
        </w:rPr>
        <w:t>In the event of a Transaction in which the Acquiring Entity does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assume or continue outstanding Awards or substitute similar awards for outstanding Awards, then with respect to any such Awards that have not been assumed, continued or substituted and that are held by Participants who are Employees or Directors and, in each case, whose Continuous Service has not terminated prior to the effective time of the Transaction (referred to as the “</w:t>
      </w:r>
      <w:r>
        <w:rPr>
          <w:rFonts w:ascii="Times New Roman" w:cs="Times New Roman" w:eastAsia="Times New Roman" w:hAnsi="Times New Roman"/>
          <w:sz w:val="18"/>
          <w:szCs w:val="18"/>
          <w:b w:val="1"/>
          <w:bCs w:val="1"/>
          <w:i w:val="1"/>
          <w:iCs w:val="1"/>
          <w:color w:val="auto"/>
        </w:rPr>
        <w:t>Current Employee and Director Participants</w:t>
      </w:r>
      <w:r>
        <w:rPr>
          <w:rFonts w:ascii="Times New Roman" w:cs="Times New Roman" w:eastAsia="Times New Roman" w:hAnsi="Times New Roman"/>
          <w:sz w:val="18"/>
          <w:szCs w:val="18"/>
          <w:color w:val="auto"/>
        </w:rPr>
        <w:t>”), the vesting (and exercisability, if applicable) of such Awards will be accelerated in full (and with respect to any such Awards that are subject to performance-based vesting conditions or requirements, vesting will be deemed to be satisfied at the greater of (x) the target level of performance or (y) the actual level of performance measured in accordance with the applicable performance goals as of the date of the Transaction) to a date prior to the effective time of such Transaction (contingent upon the effectiveness of the Transaction) as the Board determines (or, if the Board does not determine such a date, to the date that is 15 days prior to the effective time of the Transaction), and such Awards will terminate if not exercised (if applicable) at or prior to the effective time of the Transaction, and any reacquisition or repurchase rights held by the Company with respect to such Awards will lapse (contingent upon the effectiveness of the Transaction). With respect to the vesting of Awards that will accelerate upon the occurrence of a Transaction pursuant to this Section 6(c)(ii) and are settled in the form of a cash payment, such cash payment will be made no later than 30 days following the occurrence of the Transaction.</w:t>
      </w:r>
    </w:p>
    <w:p>
      <w:pPr>
        <w:spacing w:after="0" w:line="161" w:lineRule="exact"/>
        <w:rPr>
          <w:rFonts w:ascii="Times New Roman" w:cs="Times New Roman" w:eastAsia="Times New Roman" w:hAnsi="Times New Roman"/>
          <w:sz w:val="18"/>
          <w:szCs w:val="18"/>
          <w:b w:val="1"/>
          <w:bCs w:val="1"/>
          <w:color w:val="auto"/>
        </w:rPr>
      </w:pPr>
    </w:p>
    <w:p>
      <w:pPr>
        <w:ind w:left="-8" w:right="40" w:firstLine="1110"/>
        <w:spacing w:after="0" w:line="224" w:lineRule="auto"/>
        <w:tabs>
          <w:tab w:leader="none" w:pos="1408" w:val="left"/>
        </w:tabs>
        <w:numPr>
          <w:ilvl w:val="2"/>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Persons other than Current Participants. </w:t>
      </w:r>
      <w:r>
        <w:rPr>
          <w:rFonts w:ascii="Times New Roman" w:cs="Times New Roman" w:eastAsia="Times New Roman" w:hAnsi="Times New Roman"/>
          <w:sz w:val="18"/>
          <w:szCs w:val="18"/>
          <w:color w:val="auto"/>
        </w:rPr>
        <w:t>In the event of a Transaction in which the Acquiring Entity does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assume or continue outstanding Awards or substitute similar awards for outstanding Awards, then with respect to Awards that have not been assumed, continued or substituted and that are held by persons other than Current Employee and Director Participants, such Awards will terminate if not exercised (if applicable) at or prior to the effective time of the Transaction;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reacquisition or repurchase rights held by the Company with respect to such Awards will not terminate and may continue to be exercised notwithstanding the Transaction.</w:t>
      </w:r>
    </w:p>
    <w:p>
      <w:pPr>
        <w:spacing w:after="0" w:line="154" w:lineRule="exact"/>
        <w:rPr>
          <w:rFonts w:ascii="Times New Roman" w:cs="Times New Roman" w:eastAsia="Times New Roman" w:hAnsi="Times New Roman"/>
          <w:sz w:val="18"/>
          <w:szCs w:val="18"/>
          <w:b w:val="1"/>
          <w:bCs w:val="1"/>
          <w:color w:val="auto"/>
        </w:rPr>
      </w:pPr>
    </w:p>
    <w:p>
      <w:pPr>
        <w:ind w:left="-8" w:right="120" w:firstLine="1110"/>
        <w:spacing w:after="0" w:line="225" w:lineRule="auto"/>
        <w:tabs>
          <w:tab w:leader="none" w:pos="1398" w:val="left"/>
        </w:tabs>
        <w:numPr>
          <w:ilvl w:val="2"/>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 for Awards in Lieu of Exercise. </w:t>
      </w:r>
      <w:r>
        <w:rPr>
          <w:rFonts w:ascii="Times New Roman" w:cs="Times New Roman" w:eastAsia="Times New Roman" w:hAnsi="Times New Roman"/>
          <w:sz w:val="18"/>
          <w:szCs w:val="18"/>
          <w:color w:val="auto"/>
        </w:rPr>
        <w:t>Notwithstanding the foregoing, in the event an Award will terminate if not exercised at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effective time of a Transaction, the Board may provide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over (2) any exercise price payable by such holder in connection with such exercise.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11" w:right="339" w:bottom="1440" w:gutter="0" w:footer="0" w:header="0"/>
        </w:sectPr>
      </w:pPr>
    </w:p>
    <w:bookmarkStart w:id="83" w:name="page84"/>
    <w:bookmarkEnd w:id="83"/>
    <w:p>
      <w:pPr>
        <w:ind w:left="-8" w:right="20" w:firstLine="559"/>
        <w:spacing w:after="0" w:line="215" w:lineRule="auto"/>
        <w:tabs>
          <w:tab w:leader="none" w:pos="807"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Involuntary Termination Upon or Following a Transaction. </w:t>
      </w:r>
      <w:r>
        <w:rPr>
          <w:rFonts w:ascii="Times New Roman" w:cs="Times New Roman" w:eastAsia="Times New Roman" w:hAnsi="Times New Roman"/>
          <w:sz w:val="18"/>
          <w:szCs w:val="18"/>
          <w:color w:val="auto"/>
        </w:rPr>
        <w:t>Except as otherwise provided in the Award Agreement, in any other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between a Participant and the Company or an Affiliate, or in any director compensation policy of the Company, in the event that an Employee or Director’s Continuous Service is involuntarily terminated without Cause (including any such termination due to such Employee or Director’s death or Disability) upon or within 12 months following the effective time of a Transaction, the vesting (and exercisability, if applicable) of any Assumed Awards (as defined in this Section 6(d)) held by such Employee or Director as of the date of such termination will be accelerated in full (and with respect to any such Awards that are subject to performance-based vesting conditions or requirements, vesting will be deemed to be satisfied at the greater of (x) the target level of performance or (y) the actual level of performance measured in accordance with the applicable performance goals as of the date of such termination), effective as of the date of such termination. For purposes of this Section 6(d), an “</w:t>
      </w:r>
      <w:r>
        <w:rPr>
          <w:rFonts w:ascii="Times New Roman" w:cs="Times New Roman" w:eastAsia="Times New Roman" w:hAnsi="Times New Roman"/>
          <w:sz w:val="18"/>
          <w:szCs w:val="18"/>
          <w:b w:val="1"/>
          <w:bCs w:val="1"/>
          <w:i w:val="1"/>
          <w:iCs w:val="1"/>
          <w:color w:val="auto"/>
        </w:rPr>
        <w:t>Assumed Award</w:t>
      </w:r>
      <w:r>
        <w:rPr>
          <w:rFonts w:ascii="Times New Roman" w:cs="Times New Roman" w:eastAsia="Times New Roman" w:hAnsi="Times New Roman"/>
          <w:sz w:val="18"/>
          <w:szCs w:val="18"/>
          <w:color w:val="auto"/>
        </w:rPr>
        <w:t>” means any outstanding Award that was assumed or continued, or any outstanding similar award that was granted in substitution for an Award, in each case by the Acquiring Entity in connection with the applicable Transaction.</w:t>
      </w:r>
    </w:p>
    <w:p>
      <w:pPr>
        <w:spacing w:after="0" w:line="170" w:lineRule="exact"/>
        <w:rPr>
          <w:rFonts w:ascii="Times New Roman" w:cs="Times New Roman" w:eastAsia="Times New Roman" w:hAnsi="Times New Roman"/>
          <w:sz w:val="18"/>
          <w:szCs w:val="18"/>
          <w:b w:val="1"/>
          <w:bCs w:val="1"/>
          <w:color w:val="auto"/>
        </w:rPr>
      </w:pPr>
    </w:p>
    <w:p>
      <w:pPr>
        <w:ind w:left="-8" w:right="120" w:firstLine="559"/>
        <w:spacing w:after="0" w:line="225" w:lineRule="auto"/>
        <w:tabs>
          <w:tab w:leader="none" w:pos="787"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Appointment of Stockholder Representative. </w:t>
      </w:r>
      <w:r>
        <w:rPr>
          <w:rFonts w:ascii="Times New Roman" w:cs="Times New Roman" w:eastAsia="Times New Roman" w:hAnsi="Times New Roman"/>
          <w:sz w:val="18"/>
          <w:szCs w:val="18"/>
          <w:color w:val="auto"/>
        </w:rPr>
        <w:t>As a condition to the receipt of an Award, a Participant will be deemed to have agreed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will be subject to the terms of any agreement governing a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55" w:lineRule="exact"/>
        <w:rPr>
          <w:rFonts w:ascii="Times New Roman" w:cs="Times New Roman" w:eastAsia="Times New Roman" w:hAnsi="Times New Roman"/>
          <w:sz w:val="18"/>
          <w:szCs w:val="18"/>
          <w:b w:val="1"/>
          <w:bCs w:val="1"/>
          <w:color w:val="auto"/>
        </w:rPr>
      </w:pPr>
    </w:p>
    <w:p>
      <w:pPr>
        <w:ind w:left="-8" w:firstLine="559"/>
        <w:spacing w:after="0" w:line="218" w:lineRule="auto"/>
        <w:tabs>
          <w:tab w:leader="none" w:pos="767"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Restriction on Right to Undertake Transactions. </w:t>
      </w:r>
      <w:r>
        <w:rPr>
          <w:rFonts w:ascii="Times New Roman" w:cs="Times New Roman" w:eastAsia="Times New Roman" w:hAnsi="Times New Roman"/>
          <w:sz w:val="18"/>
          <w:szCs w:val="18"/>
          <w:color w:val="auto"/>
        </w:rPr>
        <w:t>The grant of any Award and the issuance of shares of Common Stock pursuant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67" w:lineRule="exact"/>
        <w:rPr>
          <w:rFonts w:ascii="Times New Roman" w:cs="Times New Roman" w:eastAsia="Times New Roman" w:hAnsi="Times New Roman"/>
          <w:sz w:val="18"/>
          <w:szCs w:val="18"/>
          <w:b w:val="1"/>
          <w:bCs w:val="1"/>
          <w:color w:val="auto"/>
        </w:rPr>
      </w:pPr>
    </w:p>
    <w:p>
      <w:pPr>
        <w:ind w:left="172" w:hanging="172"/>
        <w:spacing w:after="0"/>
        <w:tabs>
          <w:tab w:leader="none" w:pos="172"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DMINISTRATION</w:t>
      </w:r>
      <w:r>
        <w:rPr>
          <w:rFonts w:ascii="Times New Roman" w:cs="Times New Roman" w:eastAsia="Times New Roman" w:hAnsi="Times New Roman"/>
          <w:sz w:val="18"/>
          <w:szCs w:val="18"/>
          <w:b w:val="1"/>
          <w:bCs w:val="1"/>
          <w:color w:val="auto"/>
        </w:rPr>
        <w:t>.</w:t>
      </w:r>
    </w:p>
    <w:p>
      <w:pPr>
        <w:spacing w:after="0" w:line="184" w:lineRule="exact"/>
        <w:rPr>
          <w:rFonts w:ascii="Times New Roman" w:cs="Times New Roman" w:eastAsia="Times New Roman" w:hAnsi="Times New Roman"/>
          <w:sz w:val="18"/>
          <w:szCs w:val="18"/>
          <w:b w:val="1"/>
          <w:bCs w:val="1"/>
          <w:color w:val="auto"/>
        </w:rPr>
      </w:pPr>
    </w:p>
    <w:p>
      <w:pPr>
        <w:ind w:left="-8" w:right="180" w:firstLine="559"/>
        <w:spacing w:after="0" w:line="239" w:lineRule="auto"/>
        <w:tabs>
          <w:tab w:leader="none" w:pos="797" w:val="left"/>
        </w:tabs>
        <w:numPr>
          <w:ilvl w:val="1"/>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by Board. </w:t>
      </w:r>
      <w:r>
        <w:rPr>
          <w:rFonts w:ascii="Times New Roman" w:cs="Times New Roman" w:eastAsia="Times New Roman" w:hAnsi="Times New Roman"/>
          <w:sz w:val="18"/>
          <w:szCs w:val="18"/>
          <w:color w:val="auto"/>
        </w:rPr>
        <w:t>The Board will administer the Plan unless and until the Board delegates administration of the Plan to a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Committees, as provided in Section 7(c).</w:t>
      </w:r>
    </w:p>
    <w:p>
      <w:pPr>
        <w:spacing w:after="0" w:line="168" w:lineRule="exact"/>
        <w:rPr>
          <w:rFonts w:ascii="Times New Roman" w:cs="Times New Roman" w:eastAsia="Times New Roman" w:hAnsi="Times New Roman"/>
          <w:sz w:val="18"/>
          <w:szCs w:val="18"/>
          <w:b w:val="1"/>
          <w:bCs w:val="1"/>
          <w:color w:val="auto"/>
        </w:rPr>
      </w:pPr>
    </w:p>
    <w:p>
      <w:pPr>
        <w:ind w:left="812" w:hanging="261"/>
        <w:spacing w:after="0"/>
        <w:tabs>
          <w:tab w:leader="none" w:pos="812" w:val="left"/>
        </w:tabs>
        <w:numPr>
          <w:ilvl w:val="1"/>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of Board. </w:t>
      </w: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188" w:lineRule="exact"/>
        <w:rPr>
          <w:rFonts w:ascii="Times New Roman" w:cs="Times New Roman" w:eastAsia="Times New Roman" w:hAnsi="Times New Roman"/>
          <w:sz w:val="18"/>
          <w:szCs w:val="18"/>
          <w:b w:val="1"/>
          <w:bCs w:val="1"/>
          <w:color w:val="auto"/>
        </w:rPr>
      </w:pPr>
    </w:p>
    <w:p>
      <w:pPr>
        <w:ind w:left="-8" w:right="140" w:firstLine="1110"/>
        <w:spacing w:after="0" w:line="220" w:lineRule="auto"/>
        <w:tabs>
          <w:tab w:leader="none" w:pos="1308" w:val="left"/>
        </w:tabs>
        <w:numPr>
          <w:ilvl w:val="2"/>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from time to time: (1) which of the persons eligible under the Plan will be granted Awards; (2) when and how each Award will be granted; (3) what type or combination of types of Award will be granted; (4) the provisions of each Award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and (6) the Fair Market Value applicable to an Award.</w:t>
      </w:r>
    </w:p>
    <w:p>
      <w:pPr>
        <w:spacing w:after="0" w:line="171" w:lineRule="exact"/>
        <w:rPr>
          <w:rFonts w:ascii="Times New Roman" w:cs="Times New Roman" w:eastAsia="Times New Roman" w:hAnsi="Times New Roman"/>
          <w:sz w:val="18"/>
          <w:szCs w:val="18"/>
          <w:b w:val="1"/>
          <w:bCs w:val="1"/>
          <w:color w:val="auto"/>
        </w:rPr>
      </w:pPr>
    </w:p>
    <w:p>
      <w:pPr>
        <w:ind w:left="-8" w:right="320" w:firstLine="1110"/>
        <w:spacing w:after="0" w:line="226" w:lineRule="auto"/>
        <w:tabs>
          <w:tab w:leader="none" w:pos="1358" w:val="left"/>
        </w:tabs>
        <w:numPr>
          <w:ilvl w:val="2"/>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Awards fully effective.</w:t>
      </w:r>
    </w:p>
    <w:p>
      <w:pPr>
        <w:spacing w:after="0" w:line="171" w:lineRule="exact"/>
        <w:rPr>
          <w:rFonts w:ascii="Times New Roman" w:cs="Times New Roman" w:eastAsia="Times New Roman" w:hAnsi="Times New Roman"/>
          <w:sz w:val="18"/>
          <w:szCs w:val="18"/>
          <w:b w:val="1"/>
          <w:bCs w:val="1"/>
          <w:color w:val="auto"/>
        </w:rPr>
      </w:pPr>
    </w:p>
    <w:p>
      <w:pPr>
        <w:ind w:left="1412" w:hanging="310"/>
        <w:spacing w:after="0"/>
        <w:tabs>
          <w:tab w:leader="none" w:pos="1412" w:val="left"/>
        </w:tabs>
        <w:numPr>
          <w:ilvl w:val="2"/>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Awards granted under it.</w:t>
      </w:r>
    </w:p>
    <w:p>
      <w:pPr>
        <w:spacing w:after="0" w:line="184" w:lineRule="exact"/>
        <w:rPr>
          <w:rFonts w:ascii="Times New Roman" w:cs="Times New Roman" w:eastAsia="Times New Roman" w:hAnsi="Times New Roman"/>
          <w:sz w:val="18"/>
          <w:szCs w:val="18"/>
          <w:b w:val="1"/>
          <w:bCs w:val="1"/>
          <w:color w:val="auto"/>
        </w:rPr>
      </w:pPr>
    </w:p>
    <w:p>
      <w:pPr>
        <w:ind w:left="-8" w:right="580" w:firstLine="1110"/>
        <w:spacing w:after="0" w:line="263" w:lineRule="auto"/>
        <w:tabs>
          <w:tab w:leader="none" w:pos="1398" w:val="left"/>
        </w:tabs>
        <w:numPr>
          <w:ilvl w:val="2"/>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52" w:lineRule="exact"/>
        <w:rPr>
          <w:rFonts w:ascii="Times New Roman" w:cs="Times New Roman" w:eastAsia="Times New Roman" w:hAnsi="Times New Roman"/>
          <w:sz w:val="17"/>
          <w:szCs w:val="17"/>
          <w:b w:val="1"/>
          <w:bCs w:val="1"/>
          <w:color w:val="auto"/>
        </w:rPr>
      </w:pPr>
    </w:p>
    <w:p>
      <w:pPr>
        <w:ind w:left="-8" w:right="140" w:firstLine="1110"/>
        <w:spacing w:after="0" w:line="224" w:lineRule="auto"/>
        <w:tabs>
          <w:tab w:leader="none" w:pos="1348" w:val="left"/>
        </w:tabs>
        <w:numPr>
          <w:ilvl w:val="2"/>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Transaction, for reasons of administrative convenience.</w:t>
      </w:r>
    </w:p>
    <w:p>
      <w:pPr>
        <w:spacing w:after="0" w:line="158" w:lineRule="exact"/>
        <w:rPr>
          <w:rFonts w:ascii="Times New Roman" w:cs="Times New Roman" w:eastAsia="Times New Roman" w:hAnsi="Times New Roman"/>
          <w:sz w:val="18"/>
          <w:szCs w:val="18"/>
          <w:b w:val="1"/>
          <w:bCs w:val="1"/>
          <w:color w:val="auto"/>
        </w:rPr>
      </w:pPr>
    </w:p>
    <w:p>
      <w:pPr>
        <w:ind w:left="-8" w:right="380" w:firstLine="1110"/>
        <w:spacing w:after="0" w:line="231" w:lineRule="auto"/>
        <w:tabs>
          <w:tab w:leader="none" w:pos="1398" w:val="left"/>
        </w:tabs>
        <w:numPr>
          <w:ilvl w:val="2"/>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Suspension or termination of the Plan will not Materially Impair a Participant’s rights under any Award granted while the Plan is in effect unless (1) the Company requests the consent of the affected Participant, and (2) such Participant consents in writing.</w:t>
      </w:r>
    </w:p>
    <w:p>
      <w:pPr>
        <w:spacing w:after="0" w:line="156" w:lineRule="exact"/>
        <w:rPr>
          <w:rFonts w:ascii="Times New Roman" w:cs="Times New Roman" w:eastAsia="Times New Roman" w:hAnsi="Times New Roman"/>
          <w:sz w:val="18"/>
          <w:szCs w:val="18"/>
          <w:b w:val="1"/>
          <w:bCs w:val="1"/>
          <w:color w:val="auto"/>
        </w:rPr>
      </w:pPr>
    </w:p>
    <w:p>
      <w:pPr>
        <w:ind w:left="-8" w:right="340" w:firstLine="1110"/>
        <w:spacing w:after="0" w:line="225" w:lineRule="auto"/>
        <w:tabs>
          <w:tab w:leader="none" w:pos="1448" w:val="left"/>
        </w:tabs>
        <w:numPr>
          <w:ilvl w:val="2"/>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To amend the Plan in any respect the Board deems necessary or advisable;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stockholder approval will be required for any such amendment to the extent required by Applicable Law. Except as provided above, a Participant’s rights under any Award granted before any amendment of the Plan will not be Materially Impaired by any such amendment unless (1) the Company requests the consent of the affected Participant, and (2) such Participant consents in writing.</w:t>
      </w:r>
    </w:p>
    <w:p>
      <w:pPr>
        <w:spacing w:after="0" w:line="157" w:lineRule="exact"/>
        <w:rPr>
          <w:rFonts w:ascii="Times New Roman" w:cs="Times New Roman" w:eastAsia="Times New Roman" w:hAnsi="Times New Roman"/>
          <w:sz w:val="18"/>
          <w:szCs w:val="18"/>
          <w:b w:val="1"/>
          <w:bCs w:val="1"/>
          <w:color w:val="auto"/>
        </w:rPr>
      </w:pPr>
    </w:p>
    <w:p>
      <w:pPr>
        <w:ind w:left="1512" w:hanging="410"/>
        <w:spacing w:after="0"/>
        <w:tabs>
          <w:tab w:leader="none" w:pos="1512" w:val="left"/>
        </w:tabs>
        <w:numPr>
          <w:ilvl w:val="2"/>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submit any amendment to the Plan for stockholder approval.</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11" w:right="339" w:bottom="1440" w:gutter="0" w:footer="0" w:header="0"/>
        </w:sectPr>
      </w:pPr>
    </w:p>
    <w:bookmarkStart w:id="84" w:name="page85"/>
    <w:bookmarkEnd w:id="84"/>
    <w:p>
      <w:pPr>
        <w:ind w:firstLine="1110"/>
        <w:spacing w:after="0" w:line="224" w:lineRule="auto"/>
        <w:tabs>
          <w:tab w:leader="none" w:pos="1406" w:val="left"/>
        </w:tabs>
        <w:numPr>
          <w:ilvl w:val="2"/>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Participant’s rights under any Award will not be Materially Impaired by any such amendment unless (1) the Company requests the consent of the affected Participant, and (2) such Participant consents in writing.</w:t>
      </w:r>
    </w:p>
    <w:p>
      <w:pPr>
        <w:spacing w:after="0" w:line="172" w:lineRule="exact"/>
        <w:rPr>
          <w:rFonts w:ascii="Times New Roman" w:cs="Times New Roman" w:eastAsia="Times New Roman" w:hAnsi="Times New Roman"/>
          <w:sz w:val="18"/>
          <w:szCs w:val="18"/>
          <w:b w:val="1"/>
          <w:bCs w:val="1"/>
          <w:color w:val="auto"/>
        </w:rPr>
      </w:pPr>
    </w:p>
    <w:p>
      <w:pPr>
        <w:ind w:right="160" w:firstLine="1110"/>
        <w:spacing w:after="0" w:line="237" w:lineRule="auto"/>
        <w:tabs>
          <w:tab w:leader="none" w:pos="1356" w:val="left"/>
        </w:tabs>
        <w:numPr>
          <w:ilvl w:val="2"/>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58" w:lineRule="exact"/>
        <w:rPr>
          <w:rFonts w:ascii="Times New Roman" w:cs="Times New Roman" w:eastAsia="Times New Roman" w:hAnsi="Times New Roman"/>
          <w:sz w:val="18"/>
          <w:szCs w:val="18"/>
          <w:b w:val="1"/>
          <w:bCs w:val="1"/>
          <w:color w:val="auto"/>
        </w:rPr>
      </w:pPr>
    </w:p>
    <w:p>
      <w:pPr>
        <w:ind w:right="180" w:firstLine="1110"/>
        <w:spacing w:after="0" w:line="224" w:lineRule="auto"/>
        <w:tabs>
          <w:tab w:leader="none" w:pos="1406" w:val="left"/>
        </w:tabs>
        <w:numPr>
          <w:ilvl w:val="2"/>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127" w:lineRule="exact"/>
        <w:rPr>
          <w:rFonts w:ascii="Times New Roman" w:cs="Times New Roman" w:eastAsia="Times New Roman" w:hAnsi="Times New Roman"/>
          <w:sz w:val="18"/>
          <w:szCs w:val="18"/>
          <w:b w:val="1"/>
          <w:bCs w:val="1"/>
          <w:color w:val="auto"/>
        </w:rPr>
      </w:pPr>
    </w:p>
    <w:p>
      <w:pPr>
        <w:ind w:left="800" w:hanging="241"/>
        <w:spacing w:after="0"/>
        <w:tabs>
          <w:tab w:leader="none" w:pos="800"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Committee.</w:t>
      </w:r>
    </w:p>
    <w:p>
      <w:pPr>
        <w:spacing w:after="0" w:line="184" w:lineRule="exact"/>
        <w:rPr>
          <w:rFonts w:ascii="Times New Roman" w:cs="Times New Roman" w:eastAsia="Times New Roman" w:hAnsi="Times New Roman"/>
          <w:sz w:val="18"/>
          <w:szCs w:val="18"/>
          <w:b w:val="1"/>
          <w:bCs w:val="1"/>
          <w:color w:val="auto"/>
        </w:rPr>
      </w:pPr>
    </w:p>
    <w:p>
      <w:pPr>
        <w:ind w:right="60" w:firstLine="1110"/>
        <w:spacing w:after="0" w:line="216" w:lineRule="auto"/>
        <w:tabs>
          <w:tab w:leader="none" w:pos="1316" w:val="left"/>
        </w:tabs>
        <w:numPr>
          <w:ilvl w:val="2"/>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Board may delegate some or all of the administration of the Plan to a Committee or Committees. If administration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as applicable), subject, however, to such resolutions, not inconsistent with the provisions of the Plan, as may be adopted from time to time by the Board. Each Committee may retain the authority to concurrently administer the Plan with any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170" w:lineRule="exact"/>
        <w:rPr>
          <w:rFonts w:ascii="Times New Roman" w:cs="Times New Roman" w:eastAsia="Times New Roman" w:hAnsi="Times New Roman"/>
          <w:sz w:val="18"/>
          <w:szCs w:val="18"/>
          <w:b w:val="1"/>
          <w:bCs w:val="1"/>
          <w:color w:val="auto"/>
        </w:rPr>
      </w:pPr>
    </w:p>
    <w:p>
      <w:pPr>
        <w:jc w:val="both"/>
        <w:ind w:firstLine="1110"/>
        <w:spacing w:after="0" w:line="225" w:lineRule="auto"/>
        <w:tabs>
          <w:tab w:leader="none" w:pos="1366" w:val="left"/>
        </w:tabs>
        <w:numPr>
          <w:ilvl w:val="2"/>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Rule 16b-3 Compliance. </w:t>
      </w:r>
      <w:r>
        <w:rPr>
          <w:rFonts w:ascii="Times New Roman" w:cs="Times New Roman" w:eastAsia="Times New Roman" w:hAnsi="Times New Roman"/>
          <w:sz w:val="18"/>
          <w:szCs w:val="18"/>
          <w:color w:val="auto"/>
        </w:rPr>
        <w:t>To the extent an Award is intended to qualify for the exemption from Section 16(b) of the Exchange Act that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55" w:lineRule="exact"/>
        <w:rPr>
          <w:rFonts w:ascii="Times New Roman" w:cs="Times New Roman" w:eastAsia="Times New Roman" w:hAnsi="Times New Roman"/>
          <w:sz w:val="18"/>
          <w:szCs w:val="18"/>
          <w:b w:val="1"/>
          <w:bCs w:val="1"/>
          <w:color w:val="auto"/>
        </w:rPr>
      </w:pPr>
    </w:p>
    <w:p>
      <w:pPr>
        <w:ind w:right="20" w:firstLine="559"/>
        <w:spacing w:after="0" w:line="239" w:lineRule="auto"/>
        <w:tabs>
          <w:tab w:leader="none" w:pos="815"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Board’s Decision. </w:t>
      </w:r>
      <w:r>
        <w:rPr>
          <w:rFonts w:ascii="Times New Roman" w:cs="Times New Roman" w:eastAsia="Times New Roman" w:hAnsi="Times New Roman"/>
          <w:sz w:val="18"/>
          <w:szCs w:val="18"/>
          <w:color w:val="auto"/>
        </w:rPr>
        <w:t>All determinations, interpretations and constructions made by the Board or any Committee in good faith will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review by any person and will be final, binding and conclusive on all persons.</w:t>
      </w:r>
    </w:p>
    <w:p>
      <w:pPr>
        <w:spacing w:after="0" w:line="168" w:lineRule="exact"/>
        <w:rPr>
          <w:rFonts w:ascii="Times New Roman" w:cs="Times New Roman" w:eastAsia="Times New Roman" w:hAnsi="Times New Roman"/>
          <w:sz w:val="18"/>
          <w:szCs w:val="18"/>
          <w:b w:val="1"/>
          <w:bCs w:val="1"/>
          <w:color w:val="auto"/>
        </w:rPr>
      </w:pPr>
    </w:p>
    <w:p>
      <w:pPr>
        <w:ind w:right="160" w:firstLine="559"/>
        <w:spacing w:after="0" w:line="225" w:lineRule="auto"/>
        <w:tabs>
          <w:tab w:leader="none" w:pos="795"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Cancellation and Re-Grant of Awards. </w:t>
      </w:r>
      <w:r>
        <w:rPr>
          <w:rFonts w:ascii="Times New Roman" w:cs="Times New Roman" w:eastAsia="Times New Roman" w:hAnsi="Times New Roman"/>
          <w:sz w:val="18"/>
          <w:szCs w:val="18"/>
          <w:color w:val="auto"/>
        </w:rPr>
        <w:t>Except in connection with a Transaction, as provided in Section 6(a) relating to Capitalization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Adjustments, or unless the stockholders of the Company have approved such an action within 12 months prior to such an event, neither the Board nor any Committee will have the authority to: (i) reduce the exercise or strike price of any outstanding Option or SAR; or (ii) cancel any outstanding Option or SAR that has an exercise or strike price greater than the then-current Fair Market Value in exchange for cash or other Awards under the Plan.</w:t>
      </w:r>
    </w:p>
    <w:p>
      <w:pPr>
        <w:spacing w:after="0" w:line="147" w:lineRule="exact"/>
        <w:rPr>
          <w:rFonts w:ascii="Times New Roman" w:cs="Times New Roman" w:eastAsia="Times New Roman" w:hAnsi="Times New Roman"/>
          <w:sz w:val="18"/>
          <w:szCs w:val="18"/>
          <w:b w:val="1"/>
          <w:bCs w:val="1"/>
          <w:color w:val="auto"/>
        </w:rPr>
      </w:pPr>
    </w:p>
    <w:p>
      <w:pPr>
        <w:ind w:left="780" w:hanging="221"/>
        <w:spacing w:after="0"/>
        <w:tabs>
          <w:tab w:leader="none" w:pos="780"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Delegation to an Officer. </w:t>
      </w:r>
      <w:r>
        <w:rPr>
          <w:rFonts w:ascii="Times New Roman" w:cs="Times New Roman" w:eastAsia="Times New Roman" w:hAnsi="Times New Roman"/>
          <w:sz w:val="18"/>
          <w:szCs w:val="18"/>
          <w:color w:val="auto"/>
        </w:rPr>
        <w:t>The Board or any Committee may delegate to one or more Officers the authority to do one or both of the following:</w:t>
      </w:r>
    </w:p>
    <w:p>
      <w:pPr>
        <w:ind w:left="220" w:hanging="212"/>
        <w:spacing w:after="0" w:line="232" w:lineRule="auto"/>
        <w:tabs>
          <w:tab w:leader="none" w:pos="2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designate Employees who are not Officers to be recipients of Options and SARs (and, to the extent permitted by Applicable Law, other types of Awards)</w:t>
      </w:r>
    </w:p>
    <w:p>
      <w:pPr>
        <w:ind w:right="140"/>
        <w:spacing w:after="0" w:line="220" w:lineRule="auto"/>
        <w:rPr>
          <w:sz w:val="20"/>
          <w:szCs w:val="20"/>
          <w:color w:val="auto"/>
        </w:rPr>
      </w:pPr>
      <w:r>
        <w:rPr>
          <w:rFonts w:ascii="Times New Roman" w:cs="Times New Roman" w:eastAsia="Times New Roman" w:hAnsi="Times New Roman"/>
          <w:sz w:val="17"/>
          <w:szCs w:val="17"/>
          <w:color w:val="auto"/>
        </w:rPr>
        <w:t xml:space="preserve">and, to the extent permitted by Applicable Law, the terms thereof; and (ii) determine the number of shares of Common Stock to be subject to such Awards granted to such Employees;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resolutions or charter adopted by the Board or any Committee evidencing such delegation will specify the total number of shares of Common Stock that may be subject to the Awards granted by such Officer and that such Officer may not grant an</w:t>
      </w:r>
    </w:p>
    <w:p>
      <w:pPr>
        <w:spacing w:after="0" w:line="2" w:lineRule="exact"/>
        <w:rPr>
          <w:sz w:val="20"/>
          <w:szCs w:val="20"/>
          <w:color w:val="auto"/>
        </w:rPr>
      </w:pPr>
    </w:p>
    <w:p>
      <w:pPr>
        <w:ind w:right="100"/>
        <w:spacing w:after="0" w:line="220" w:lineRule="auto"/>
        <w:rPr>
          <w:sz w:val="20"/>
          <w:szCs w:val="20"/>
          <w:color w:val="auto"/>
        </w:rPr>
      </w:pPr>
      <w:r>
        <w:rPr>
          <w:rFonts w:ascii="Times New Roman" w:cs="Times New Roman" w:eastAsia="Times New Roman" w:hAnsi="Times New Roman"/>
          <w:sz w:val="17"/>
          <w:szCs w:val="17"/>
          <w:color w:val="auto"/>
        </w:rPr>
        <w:t>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 the Fair Market Value.</w:t>
      </w:r>
    </w:p>
    <w:p>
      <w:pPr>
        <w:spacing w:after="0" w:line="161" w:lineRule="exact"/>
        <w:rPr>
          <w:sz w:val="20"/>
          <w:szCs w:val="20"/>
          <w:color w:val="auto"/>
        </w:rPr>
      </w:pPr>
    </w:p>
    <w:p>
      <w:pPr>
        <w:ind w:left="180" w:hanging="172"/>
        <w:spacing w:after="0"/>
        <w:tabs>
          <w:tab w:leader="none" w:pos="18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3"/>
          <w:szCs w:val="13"/>
          <w:b w:val="1"/>
          <w:bCs w:val="1"/>
          <w:color w:val="auto"/>
        </w:rPr>
        <w:t>AX</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3"/>
          <w:szCs w:val="13"/>
          <w:b w:val="1"/>
          <w:bCs w:val="1"/>
          <w:color w:val="auto"/>
        </w:rPr>
        <w:t>ITHHOLDING</w:t>
      </w:r>
      <w:r>
        <w:rPr>
          <w:rFonts w:ascii="Times New Roman" w:cs="Times New Roman" w:eastAsia="Times New Roman" w:hAnsi="Times New Roman"/>
          <w:sz w:val="18"/>
          <w:szCs w:val="18"/>
          <w:b w:val="1"/>
          <w:bCs w:val="1"/>
          <w:color w:val="auto"/>
        </w:rPr>
        <w:t>.</w:t>
      </w:r>
    </w:p>
    <w:p>
      <w:pPr>
        <w:spacing w:after="0" w:line="184" w:lineRule="exact"/>
        <w:rPr>
          <w:rFonts w:ascii="Times New Roman" w:cs="Times New Roman" w:eastAsia="Times New Roman" w:hAnsi="Times New Roman"/>
          <w:sz w:val="18"/>
          <w:szCs w:val="18"/>
          <w:b w:val="1"/>
          <w:bCs w:val="1"/>
          <w:color w:val="auto"/>
        </w:rPr>
      </w:pPr>
    </w:p>
    <w:p>
      <w:pPr>
        <w:ind w:right="80" w:firstLine="559"/>
        <w:spacing w:after="0" w:line="237" w:lineRule="auto"/>
        <w:tabs>
          <w:tab w:leader="none" w:pos="805" w:val="left"/>
        </w:tabs>
        <w:numPr>
          <w:ilvl w:val="1"/>
          <w:numId w:val="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Withholding Authorization. </w:t>
      </w:r>
      <w:r>
        <w:rPr>
          <w:rFonts w:ascii="Times New Roman" w:cs="Times New Roman" w:eastAsia="Times New Roman" w:hAnsi="Times New Roman"/>
          <w:sz w:val="17"/>
          <w:szCs w:val="17"/>
          <w:color w:val="auto"/>
        </w:rPr>
        <w:t>As a condition to acceptance of any Award, a Participant authorizes withholding from payroll and any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amounts payable to such Participant, and otherwise agrees to make adequate provision for,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will have no obligation to issue shares of Common Stock subject to an Award, unless and until such withholding obligations are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85" w:name="page86"/>
    <w:bookmarkEnd w:id="85"/>
    <w:p>
      <w:pPr>
        <w:ind w:right="200" w:firstLine="559"/>
        <w:spacing w:after="0" w:line="218" w:lineRule="auto"/>
        <w:tabs>
          <w:tab w:leader="none" w:pos="815"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Satisfaction of Withholding Obligations. </w:t>
      </w:r>
      <w:r>
        <w:rPr>
          <w:rFonts w:ascii="Times New Roman" w:cs="Times New Roman" w:eastAsia="Times New Roman" w:hAnsi="Times New Roman"/>
          <w:sz w:val="18"/>
          <w:szCs w:val="18"/>
          <w:color w:val="auto"/>
        </w:rPr>
        <w:t>To the extent permitted by the terms of an Award Agreement, the Company may, in its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satisfy any U.S. federal, state, local and/or foreign tax or social insurance contribution withholding obligations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168" w:lineRule="exact"/>
        <w:rPr>
          <w:rFonts w:ascii="Times New Roman" w:cs="Times New Roman" w:eastAsia="Times New Roman" w:hAnsi="Times New Roman"/>
          <w:sz w:val="18"/>
          <w:szCs w:val="18"/>
          <w:b w:val="1"/>
          <w:bCs w:val="1"/>
          <w:color w:val="auto"/>
        </w:rPr>
      </w:pPr>
    </w:p>
    <w:p>
      <w:pPr>
        <w:ind w:firstLine="559"/>
        <w:spacing w:after="0" w:line="230" w:lineRule="auto"/>
        <w:tabs>
          <w:tab w:leader="none" w:pos="795" w:val="left"/>
        </w:tabs>
        <w:numPr>
          <w:ilvl w:val="0"/>
          <w:numId w:val="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 Obligation to Notify or Minimize Taxes; No Liability to Claims. </w:t>
      </w:r>
      <w:r>
        <w:rPr>
          <w:rFonts w:ascii="Times New Roman" w:cs="Times New Roman" w:eastAsia="Times New Roman" w:hAnsi="Times New Roman"/>
          <w:sz w:val="17"/>
          <w:szCs w:val="17"/>
          <w:color w:val="auto"/>
        </w:rPr>
        <w:t>Except as required by Applicable Law, the Company has no duty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obligation to any Participant to advise such Participant as to the time or manner of exercising an Award. Furthermore, the Company has no duty or obligation to warn or otherwise advise such Participant of a pending termination or expiration of an Award or a possible period in which the Award may not</w:t>
      </w:r>
    </w:p>
    <w:p>
      <w:pPr>
        <w:spacing w:after="0" w:line="2" w:lineRule="exact"/>
        <w:rPr>
          <w:sz w:val="20"/>
          <w:szCs w:val="20"/>
          <w:color w:val="auto"/>
        </w:rPr>
      </w:pPr>
    </w:p>
    <w:p>
      <w:pPr>
        <w:ind w:right="440"/>
        <w:spacing w:after="0" w:line="215" w:lineRule="auto"/>
        <w:rPr>
          <w:sz w:val="20"/>
          <w:szCs w:val="20"/>
          <w:color w:val="auto"/>
        </w:rPr>
      </w:pPr>
      <w:r>
        <w:rPr>
          <w:rFonts w:ascii="Times New Roman" w:cs="Times New Roman" w:eastAsia="Times New Roman" w:hAnsi="Times New Roman"/>
          <w:sz w:val="17"/>
          <w:szCs w:val="17"/>
          <w:color w:val="auto"/>
        </w:rPr>
        <w:t>be exercised. The Company has no duty or obligation to minimize the tax consequences of an Award to any Participant and will not be liable to any Participant for any adverse tax consequences to such Participant in connection with an Award. As a condition to accepting an Award, each Participant</w:t>
      </w:r>
    </w:p>
    <w:p>
      <w:pPr>
        <w:spacing w:after="0" w:line="1" w:lineRule="exact"/>
        <w:rPr>
          <w:sz w:val="20"/>
          <w:szCs w:val="20"/>
          <w:color w:val="auto"/>
        </w:rPr>
      </w:pPr>
    </w:p>
    <w:p>
      <w:pPr>
        <w:ind w:right="40" w:firstLine="8"/>
        <w:spacing w:after="0" w:line="213" w:lineRule="auto"/>
        <w:tabs>
          <w:tab w:leader="none" w:pos="21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that any Option or SAR is exempt from Section 409A only if the exercise or strike price of such Option or SAR is at least equal to the “fair market value” of the Common Stock on the date of grant of such Option or SAR as determined by the Internal Revenue Service and there is no other impermissible deferral of compensation associated with the Award. Additionally, as a condition to accepting an Option or SAR, each Participant agrees to not make any claim against the Company, or any of its Officers, Directors, Employees or Affiliates in the event that the Internal Revenue Service asserts that the exercise or strike price of such Option or SAR is less than the “fair market value” of the Common Stock on the date of grant of such Option or SAR as subsequently determined by the Internal Revenue Service.</w:t>
      </w:r>
    </w:p>
    <w:p>
      <w:pPr>
        <w:spacing w:after="0" w:line="158" w:lineRule="exact"/>
        <w:rPr>
          <w:rFonts w:ascii="Times New Roman" w:cs="Times New Roman" w:eastAsia="Times New Roman" w:hAnsi="Times New Roman"/>
          <w:sz w:val="18"/>
          <w:szCs w:val="18"/>
          <w:color w:val="auto"/>
        </w:rPr>
      </w:pPr>
    </w:p>
    <w:p>
      <w:pPr>
        <w:ind w:right="140" w:firstLine="559"/>
        <w:spacing w:after="0" w:line="225" w:lineRule="auto"/>
        <w:tabs>
          <w:tab w:leader="none" w:pos="815"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Indemnification. </w:t>
      </w:r>
      <w:r>
        <w:rPr>
          <w:rFonts w:ascii="Times New Roman" w:cs="Times New Roman" w:eastAsia="Times New Roman" w:hAnsi="Times New Roman"/>
          <w:sz w:val="18"/>
          <w:szCs w:val="18"/>
          <w:color w:val="auto"/>
        </w:rPr>
        <w:t>As a condition to accepting an Award, in the event that the amount of the Company’s and/or its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withholding obligations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155" w:lineRule="exact"/>
        <w:rPr>
          <w:sz w:val="20"/>
          <w:szCs w:val="20"/>
          <w:color w:val="auto"/>
        </w:rPr>
      </w:pPr>
    </w:p>
    <w:p>
      <w:pPr>
        <w:ind w:left="180" w:hanging="172"/>
        <w:spacing w:after="0"/>
        <w:tabs>
          <w:tab w:leader="none" w:pos="18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3"/>
          <w:szCs w:val="13"/>
          <w:b w:val="1"/>
          <w:bCs w:val="1"/>
          <w:color w:val="auto"/>
        </w:rPr>
        <w:t>ISCELLANEOUS</w:t>
      </w:r>
      <w:r>
        <w:rPr>
          <w:rFonts w:ascii="Times New Roman" w:cs="Times New Roman" w:eastAsia="Times New Roman" w:hAnsi="Times New Roman"/>
          <w:sz w:val="18"/>
          <w:szCs w:val="18"/>
          <w:b w:val="1"/>
          <w:bCs w:val="1"/>
          <w:color w:val="auto"/>
        </w:rPr>
        <w:t>.</w:t>
      </w:r>
    </w:p>
    <w:p>
      <w:pPr>
        <w:spacing w:after="0" w:line="198" w:lineRule="exact"/>
        <w:rPr>
          <w:rFonts w:ascii="Times New Roman" w:cs="Times New Roman" w:eastAsia="Times New Roman" w:hAnsi="Times New Roman"/>
          <w:sz w:val="18"/>
          <w:szCs w:val="18"/>
          <w:b w:val="1"/>
          <w:bCs w:val="1"/>
          <w:color w:val="auto"/>
        </w:rPr>
      </w:pPr>
    </w:p>
    <w:p>
      <w:pPr>
        <w:ind w:left="820" w:hanging="261"/>
        <w:spacing w:after="0"/>
        <w:tabs>
          <w:tab w:leader="none" w:pos="820" w:val="left"/>
        </w:tabs>
        <w:numPr>
          <w:ilvl w:val="1"/>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Dividend Equivalents. </w:t>
      </w:r>
      <w:r>
        <w:rPr>
          <w:rFonts w:ascii="Times New Roman" w:cs="Times New Roman" w:eastAsia="Times New Roman" w:hAnsi="Times New Roman"/>
          <w:sz w:val="18"/>
          <w:szCs w:val="18"/>
          <w:color w:val="auto"/>
        </w:rPr>
        <w:t>Dividends or dividend equivalents may not be paid or credited to any Awards.</w:t>
      </w:r>
    </w:p>
    <w:p>
      <w:pPr>
        <w:spacing w:after="0" w:line="184" w:lineRule="exact"/>
        <w:rPr>
          <w:rFonts w:ascii="Times New Roman" w:cs="Times New Roman" w:eastAsia="Times New Roman" w:hAnsi="Times New Roman"/>
          <w:sz w:val="18"/>
          <w:szCs w:val="18"/>
          <w:b w:val="1"/>
          <w:bCs w:val="1"/>
          <w:color w:val="auto"/>
        </w:rPr>
      </w:pPr>
    </w:p>
    <w:p>
      <w:pPr>
        <w:ind w:right="200" w:firstLine="559"/>
        <w:spacing w:after="0" w:line="239" w:lineRule="auto"/>
        <w:tabs>
          <w:tab w:leader="none" w:pos="815" w:val="left"/>
        </w:tabs>
        <w:numPr>
          <w:ilvl w:val="1"/>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Shares. </w:t>
      </w:r>
      <w:r>
        <w:rPr>
          <w:rFonts w:ascii="Times New Roman" w:cs="Times New Roman" w:eastAsia="Times New Roman" w:hAnsi="Times New Roman"/>
          <w:sz w:val="18"/>
          <w:szCs w:val="18"/>
          <w:color w:val="auto"/>
        </w:rPr>
        <w:t>The stock issuable under the Plan will be shares of authorized but unissued or reacquired Common Stock, including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repurchased by the Company on the open market or otherwise.</w:t>
      </w:r>
    </w:p>
    <w:p>
      <w:pPr>
        <w:spacing w:after="0" w:line="168" w:lineRule="exact"/>
        <w:rPr>
          <w:rFonts w:ascii="Times New Roman" w:cs="Times New Roman" w:eastAsia="Times New Roman" w:hAnsi="Times New Roman"/>
          <w:sz w:val="18"/>
          <w:szCs w:val="18"/>
          <w:b w:val="1"/>
          <w:bCs w:val="1"/>
          <w:color w:val="auto"/>
        </w:rPr>
      </w:pPr>
    </w:p>
    <w:p>
      <w:pPr>
        <w:ind w:right="80" w:firstLine="559"/>
        <w:spacing w:after="0" w:line="239" w:lineRule="auto"/>
        <w:tabs>
          <w:tab w:leader="none" w:pos="795" w:val="left"/>
        </w:tabs>
        <w:numPr>
          <w:ilvl w:val="1"/>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Sales of Common Stock. </w:t>
      </w:r>
      <w:r>
        <w:rPr>
          <w:rFonts w:ascii="Times New Roman" w:cs="Times New Roman" w:eastAsia="Times New Roman" w:hAnsi="Times New Roman"/>
          <w:sz w:val="18"/>
          <w:szCs w:val="18"/>
          <w:color w:val="auto"/>
        </w:rPr>
        <w:t>Proceeds from the sale of shares of Common Stock pursuant to Awards will constitute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funds of the Company.</w:t>
      </w:r>
    </w:p>
    <w:p>
      <w:pPr>
        <w:spacing w:after="0" w:line="154" w:lineRule="exact"/>
        <w:rPr>
          <w:rFonts w:ascii="Times New Roman" w:cs="Times New Roman" w:eastAsia="Times New Roman" w:hAnsi="Times New Roman"/>
          <w:sz w:val="18"/>
          <w:szCs w:val="18"/>
          <w:b w:val="1"/>
          <w:bCs w:val="1"/>
          <w:color w:val="auto"/>
        </w:rPr>
      </w:pPr>
    </w:p>
    <w:p>
      <w:pPr>
        <w:ind w:right="60" w:firstLine="559"/>
        <w:spacing w:after="0" w:line="218" w:lineRule="auto"/>
        <w:tabs>
          <w:tab w:leader="none" w:pos="815" w:val="left"/>
        </w:tabs>
        <w:numPr>
          <w:ilvl w:val="1"/>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Constituting Grant of Awards. </w:t>
      </w:r>
      <w:r>
        <w:rPr>
          <w:rFonts w:ascii="Times New Roman" w:cs="Times New Roman" w:eastAsia="Times New Roman" w:hAnsi="Times New Roman"/>
          <w:sz w:val="18"/>
          <w:szCs w:val="18"/>
          <w:color w:val="auto"/>
        </w:rPr>
        <w:t>Corporate action constituting a grant by the Company of an Award to any Participant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Board consents, resolutions or minutes) documenting the corporate action approving the grant contain terms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68" w:lineRule="exact"/>
        <w:rPr>
          <w:rFonts w:ascii="Times New Roman" w:cs="Times New Roman" w:eastAsia="Times New Roman" w:hAnsi="Times New Roman"/>
          <w:sz w:val="18"/>
          <w:szCs w:val="18"/>
          <w:b w:val="1"/>
          <w:bCs w:val="1"/>
          <w:color w:val="auto"/>
        </w:rPr>
      </w:pPr>
    </w:p>
    <w:p>
      <w:pPr>
        <w:jc w:val="both"/>
        <w:ind w:right="300" w:firstLine="559"/>
        <w:spacing w:after="0" w:line="227" w:lineRule="auto"/>
        <w:tabs>
          <w:tab w:leader="none" w:pos="795" w:val="left"/>
        </w:tabs>
        <w:numPr>
          <w:ilvl w:val="1"/>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 Rights. </w:t>
      </w:r>
      <w:r>
        <w:rPr>
          <w:rFonts w:ascii="Times New Roman" w:cs="Times New Roman" w:eastAsia="Times New Roman" w:hAnsi="Times New Roman"/>
          <w:sz w:val="18"/>
          <w:szCs w:val="18"/>
          <w:color w:val="auto"/>
        </w:rPr>
        <w:t>No Participant will be deemed to be the holder of, or to have any of the rights of a holder with respect to, any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subject to an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68" w:lineRule="exact"/>
        <w:rPr>
          <w:rFonts w:ascii="Times New Roman" w:cs="Times New Roman" w:eastAsia="Times New Roman" w:hAnsi="Times New Roman"/>
          <w:sz w:val="18"/>
          <w:szCs w:val="18"/>
          <w:b w:val="1"/>
          <w:bCs w:val="1"/>
          <w:color w:val="auto"/>
        </w:rPr>
      </w:pPr>
    </w:p>
    <w:p>
      <w:pPr>
        <w:ind w:right="140" w:firstLine="559"/>
        <w:spacing w:after="0" w:line="215" w:lineRule="auto"/>
        <w:tabs>
          <w:tab w:leader="none" w:pos="775" w:val="left"/>
        </w:tabs>
        <w:numPr>
          <w:ilvl w:val="1"/>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Employment or Other Service Rights. </w:t>
      </w:r>
      <w:r>
        <w:rPr>
          <w:rFonts w:ascii="Times New Roman" w:cs="Times New Roman" w:eastAsia="Times New Roman" w:hAnsi="Times New Roman"/>
          <w:sz w:val="18"/>
          <w:szCs w:val="18"/>
          <w:color w:val="auto"/>
        </w:rPr>
        <w:t>Nothing in the Plan, any Award Agreement or any other instrument executed thereunder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86" w:name="page87"/>
    <w:bookmarkEnd w:id="86"/>
    <w:p>
      <w:pPr>
        <w:ind w:right="60" w:firstLine="559"/>
        <w:spacing w:after="0" w:line="218" w:lineRule="auto"/>
        <w:tabs>
          <w:tab w:leader="none" w:pos="805"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Time Commitment. </w:t>
      </w:r>
      <w:r>
        <w:rPr>
          <w:rFonts w:ascii="Times New Roman" w:cs="Times New Roman" w:eastAsia="Times New Roman" w:hAnsi="Times New Roman"/>
          <w:sz w:val="18"/>
          <w:szCs w:val="18"/>
          <w:color w:val="auto"/>
        </w:rPr>
        <w:t>In the event a Participant’s regular level of time commitment in the performance of his or her services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any Affiliate is reduced (for example, and without limitation, if the Participant is an Employee and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68" w:lineRule="exact"/>
        <w:rPr>
          <w:rFonts w:ascii="Times New Roman" w:cs="Times New Roman" w:eastAsia="Times New Roman" w:hAnsi="Times New Roman"/>
          <w:sz w:val="18"/>
          <w:szCs w:val="18"/>
          <w:b w:val="1"/>
          <w:bCs w:val="1"/>
          <w:color w:val="auto"/>
        </w:rPr>
      </w:pPr>
    </w:p>
    <w:p>
      <w:pPr>
        <w:ind w:right="160" w:firstLine="559"/>
        <w:spacing w:after="0" w:line="227" w:lineRule="auto"/>
        <w:tabs>
          <w:tab w:leader="none" w:pos="815"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Execution of Additional Documents. </w:t>
      </w:r>
      <w:r>
        <w:rPr>
          <w:rFonts w:ascii="Times New Roman" w:cs="Times New Roman" w:eastAsia="Times New Roman" w:hAnsi="Times New Roman"/>
          <w:sz w:val="18"/>
          <w:szCs w:val="18"/>
          <w:color w:val="auto"/>
        </w:rPr>
        <w:t>As a condition to accepting an Award, the Participant agrees to execute any additional documents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68" w:lineRule="exact"/>
        <w:rPr>
          <w:rFonts w:ascii="Times New Roman" w:cs="Times New Roman" w:eastAsia="Times New Roman" w:hAnsi="Times New Roman"/>
          <w:sz w:val="18"/>
          <w:szCs w:val="18"/>
          <w:b w:val="1"/>
          <w:bCs w:val="1"/>
          <w:color w:val="auto"/>
        </w:rPr>
      </w:pPr>
    </w:p>
    <w:p>
      <w:pPr>
        <w:ind w:right="60" w:firstLine="559"/>
        <w:spacing w:after="0" w:line="218" w:lineRule="auto"/>
        <w:tabs>
          <w:tab w:leader="none" w:pos="765"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Electronic Delivery and Participation. </w:t>
      </w:r>
      <w:r>
        <w:rPr>
          <w:rFonts w:ascii="Times New Roman" w:cs="Times New Roman" w:eastAsia="Times New Roman" w:hAnsi="Times New Roman"/>
          <w:sz w:val="18"/>
          <w:szCs w:val="18"/>
          <w:color w:val="auto"/>
        </w:rPr>
        <w:t>Any reference herein or in an Award Agreement to a “written” agreement or document will include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stock certificate or electronic entry evidencing such shares) will be determined by the Company.</w:t>
      </w:r>
    </w:p>
    <w:p>
      <w:pPr>
        <w:spacing w:after="0" w:line="154" w:lineRule="exact"/>
        <w:rPr>
          <w:rFonts w:ascii="Times New Roman" w:cs="Times New Roman" w:eastAsia="Times New Roman" w:hAnsi="Times New Roman"/>
          <w:sz w:val="18"/>
          <w:szCs w:val="18"/>
          <w:b w:val="1"/>
          <w:bCs w:val="1"/>
          <w:color w:val="auto"/>
        </w:rPr>
      </w:pPr>
    </w:p>
    <w:p>
      <w:pPr>
        <w:ind w:right="20" w:firstLine="559"/>
        <w:spacing w:after="0" w:line="216" w:lineRule="auto"/>
        <w:tabs>
          <w:tab w:leader="none" w:pos="775"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Clawback/Recovery. </w:t>
      </w:r>
      <w:r>
        <w:rPr>
          <w:rFonts w:ascii="Times New Roman" w:cs="Times New Roman" w:eastAsia="Times New Roman" w:hAnsi="Times New Roman"/>
          <w:sz w:val="18"/>
          <w:szCs w:val="18"/>
          <w:color w:val="auto"/>
        </w:rPr>
        <w:t>All Awards granted under the Plan will be subject to recoupment in accordance with the following, as applicable: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Neurocrine Biosciences, Inc. Policy for Recoupment of Incentive Compensation; (ii) the Neurocrine Biosciences, Inc. Incentive Compensation Recoupment Policy; (iii)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(iv) any other clawback policy that the Company adopts.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voluntary terminate employment upon a “resignation for good reason,” or for a “constructive termination” or any similar term under any plan of or agreement with the Company.</w:t>
      </w:r>
    </w:p>
    <w:p>
      <w:pPr>
        <w:spacing w:after="0" w:line="159" w:lineRule="exact"/>
        <w:rPr>
          <w:rFonts w:ascii="Times New Roman" w:cs="Times New Roman" w:eastAsia="Times New Roman" w:hAnsi="Times New Roman"/>
          <w:sz w:val="18"/>
          <w:szCs w:val="18"/>
          <w:b w:val="1"/>
          <w:bCs w:val="1"/>
          <w:color w:val="auto"/>
        </w:rPr>
      </w:pPr>
    </w:p>
    <w:p>
      <w:pPr>
        <w:ind w:right="100" w:firstLine="559"/>
        <w:spacing w:after="0" w:line="225" w:lineRule="auto"/>
        <w:tabs>
          <w:tab w:leader="none" w:pos="815"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A Participant will not be issued any shares in respect of an Award unless either (i) the shares are registered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68" w:lineRule="exact"/>
        <w:rPr>
          <w:rFonts w:ascii="Times New Roman" w:cs="Times New Roman" w:eastAsia="Times New Roman" w:hAnsi="Times New Roman"/>
          <w:sz w:val="18"/>
          <w:szCs w:val="18"/>
          <w:b w:val="1"/>
          <w:bCs w:val="1"/>
          <w:color w:val="auto"/>
        </w:rPr>
      </w:pPr>
    </w:p>
    <w:p>
      <w:pPr>
        <w:ind w:firstLine="559"/>
        <w:spacing w:after="0" w:line="225" w:lineRule="auto"/>
        <w:tabs>
          <w:tab w:leader="none" w:pos="765"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or Assignment of Awards; Issued Shares. </w:t>
      </w:r>
      <w:r>
        <w:rPr>
          <w:rFonts w:ascii="Times New Roman" w:cs="Times New Roman" w:eastAsia="Times New Roman" w:hAnsi="Times New Roman"/>
          <w:sz w:val="18"/>
          <w:szCs w:val="18"/>
          <w:color w:val="auto"/>
        </w:rPr>
        <w:t>Except as expressly provided in the Plan or an Award Agreement, Awards may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55" w:lineRule="exact"/>
        <w:rPr>
          <w:rFonts w:ascii="Times New Roman" w:cs="Times New Roman" w:eastAsia="Times New Roman" w:hAnsi="Times New Roman"/>
          <w:sz w:val="18"/>
          <w:szCs w:val="18"/>
          <w:b w:val="1"/>
          <w:bCs w:val="1"/>
          <w:color w:val="auto"/>
        </w:rPr>
      </w:pPr>
    </w:p>
    <w:p>
      <w:pPr>
        <w:ind w:right="40" w:firstLine="559"/>
        <w:spacing w:after="0" w:line="225" w:lineRule="auto"/>
        <w:tabs>
          <w:tab w:leader="none" w:pos="865"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on Other Employee Benefit Plans. </w:t>
      </w:r>
      <w:r>
        <w:rPr>
          <w:rFonts w:ascii="Times New Roman" w:cs="Times New Roman" w:eastAsia="Times New Roman" w:hAnsi="Times New Roman"/>
          <w:sz w:val="18"/>
          <w:szCs w:val="18"/>
          <w:color w:val="auto"/>
        </w:rPr>
        <w:t>The value of any Award, as determined upon grant, vesting or settlement, will not be included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55" w:lineRule="exact"/>
        <w:rPr>
          <w:rFonts w:ascii="Times New Roman" w:cs="Times New Roman" w:eastAsia="Times New Roman" w:hAnsi="Times New Roman"/>
          <w:sz w:val="18"/>
          <w:szCs w:val="18"/>
          <w:b w:val="1"/>
          <w:bCs w:val="1"/>
          <w:color w:val="auto"/>
        </w:rPr>
      </w:pPr>
    </w:p>
    <w:p>
      <w:pPr>
        <w:ind w:right="260" w:firstLine="559"/>
        <w:spacing w:after="0" w:line="232" w:lineRule="auto"/>
        <w:tabs>
          <w:tab w:leader="none" w:pos="815"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Deferrals. </w:t>
      </w:r>
      <w:r>
        <w:rPr>
          <w:rFonts w:ascii="Times New Roman" w:cs="Times New Roman" w:eastAsia="Times New Roman" w:hAnsi="Times New Roman"/>
          <w:sz w:val="18"/>
          <w:szCs w:val="18"/>
          <w:color w:val="auto"/>
        </w:rPr>
        <w:t>To the extent permitted by Applicable Law, the Board, in its sole discretion, may determine that the delivery of Common Stock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payment of cash, upon the exercise, vesting or settlement of all or a portion of any Award may be deferred and may also establish programs and procedures for deferral elections to be made by Participants. Deferrals by will be made in accordance with the requirements of Section 409A.</w:t>
      </w:r>
    </w:p>
    <w:p>
      <w:pPr>
        <w:spacing w:after="0" w:line="155" w:lineRule="exact"/>
        <w:rPr>
          <w:rFonts w:ascii="Times New Roman" w:cs="Times New Roman" w:eastAsia="Times New Roman" w:hAnsi="Times New Roman"/>
          <w:sz w:val="18"/>
          <w:szCs w:val="18"/>
          <w:b w:val="1"/>
          <w:bCs w:val="1"/>
          <w:color w:val="auto"/>
        </w:rPr>
      </w:pPr>
    </w:p>
    <w:p>
      <w:pPr>
        <w:ind w:right="100" w:firstLine="559"/>
        <w:spacing w:after="0" w:line="215" w:lineRule="auto"/>
        <w:tabs>
          <w:tab w:leader="none" w:pos="805"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Unless otherwise expressly provided for in an Award Agreement, the Plan and each Award Agreement will be interpreted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may be made in a manner that complies with</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87" w:name="page88"/>
    <w:bookmarkEnd w:id="87"/>
    <w:p>
      <w:pPr>
        <w:ind w:right="160"/>
        <w:spacing w:after="0" w:line="250" w:lineRule="auto"/>
        <w:rPr>
          <w:sz w:val="20"/>
          <w:szCs w:val="20"/>
          <w:color w:val="auto"/>
        </w:rPr>
      </w:pPr>
      <w:r>
        <w:rPr>
          <w:rFonts w:ascii="Times New Roman" w:cs="Times New Roman" w:eastAsia="Times New Roman" w:hAnsi="Times New Roman"/>
          <w:sz w:val="18"/>
          <w:szCs w:val="18"/>
          <w:color w:val="auto"/>
        </w:rPr>
        <w:t>Section 409A, and any amounts so deferred will be paid in a lump sum on the day after such six month period elapses, with the balance paid thereafter on the original schedule.</w:t>
      </w:r>
    </w:p>
    <w:p>
      <w:pPr>
        <w:spacing w:after="0" w:line="145" w:lineRule="exact"/>
        <w:rPr>
          <w:sz w:val="20"/>
          <w:szCs w:val="20"/>
          <w:color w:val="auto"/>
        </w:rPr>
      </w:pPr>
    </w:p>
    <w:p>
      <w:pPr>
        <w:jc w:val="both"/>
        <w:ind w:right="100" w:firstLine="559"/>
        <w:spacing w:after="0" w:line="232" w:lineRule="auto"/>
        <w:tabs>
          <w:tab w:leader="none" w:pos="815"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Choice of Law. </w:t>
      </w:r>
      <w:r>
        <w:rPr>
          <w:rFonts w:ascii="Times New Roman" w:cs="Times New Roman" w:eastAsia="Times New Roman" w:hAnsi="Times New Roman"/>
          <w:sz w:val="18"/>
          <w:szCs w:val="18"/>
          <w:color w:val="auto"/>
        </w:rPr>
        <w:t>This Plan and any controversy arising out of or relating to this Plan will be governed by, and construed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internal laws of the State of California, without regard to conflict of law principles that would result in any application of any law other than the law of the State of California.</w:t>
      </w:r>
    </w:p>
    <w:p>
      <w:pPr>
        <w:spacing w:after="0" w:line="115"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3"/>
          <w:szCs w:val="13"/>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OMPANY</w:t>
      </w:r>
      <w:r>
        <w:rPr>
          <w:rFonts w:ascii="Times New Roman" w:cs="Times New Roman" w:eastAsia="Times New Roman" w:hAnsi="Times New Roman"/>
          <w:sz w:val="18"/>
          <w:szCs w:val="18"/>
          <w:b w:val="1"/>
          <w:bCs w:val="1"/>
          <w:color w:val="auto"/>
        </w:rPr>
        <w:t>.</w:t>
      </w:r>
    </w:p>
    <w:p>
      <w:pPr>
        <w:spacing w:after="0" w:line="198" w:lineRule="exact"/>
        <w:rPr>
          <w:rFonts w:ascii="Times New Roman" w:cs="Times New Roman" w:eastAsia="Times New Roman" w:hAnsi="Times New Roman"/>
          <w:sz w:val="18"/>
          <w:szCs w:val="18"/>
          <w:b w:val="1"/>
          <w:bCs w:val="1"/>
          <w:color w:val="auto"/>
        </w:rPr>
      </w:pPr>
    </w:p>
    <w:p>
      <w:pPr>
        <w:ind w:firstLine="559"/>
        <w:spacing w:after="0" w:line="216" w:lineRule="auto"/>
        <w:tabs>
          <w:tab w:leader="none" w:pos="805"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Law. </w:t>
      </w:r>
      <w:r>
        <w:rPr>
          <w:rFonts w:ascii="Times New Roman" w:cs="Times New Roman" w:eastAsia="Times New Roman" w:hAnsi="Times New Roman"/>
          <w:sz w:val="18"/>
          <w:szCs w:val="18"/>
          <w:color w:val="auto"/>
        </w:rPr>
        <w:t>The Company will seek to obtain from each regulatory commission or agency, as may be deemed to be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having jurisdiction over the Plan such authority as may be required to grant Awards and to issue and sell shares of Common Stock upon exercise or vesting of the Awards;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156"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DDITIONAL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ULES FOR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3"/>
          <w:szCs w:val="13"/>
          <w:b w:val="1"/>
          <w:bCs w:val="1"/>
          <w:color w:val="auto"/>
        </w:rPr>
        <w:t>WARDS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UBJECT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ECTION</w:t>
      </w:r>
      <w:r>
        <w:rPr>
          <w:rFonts w:ascii="Times New Roman" w:cs="Times New Roman" w:eastAsia="Times New Roman" w:hAnsi="Times New Roman"/>
          <w:sz w:val="18"/>
          <w:szCs w:val="18"/>
          <w:b w:val="1"/>
          <w:bCs w:val="1"/>
          <w:color w:val="auto"/>
        </w:rPr>
        <w:t xml:space="preserve"> 409A.</w:t>
      </w:r>
    </w:p>
    <w:p>
      <w:pPr>
        <w:spacing w:after="0" w:line="184" w:lineRule="exact"/>
        <w:rPr>
          <w:rFonts w:ascii="Times New Roman" w:cs="Times New Roman" w:eastAsia="Times New Roman" w:hAnsi="Times New Roman"/>
          <w:sz w:val="18"/>
          <w:szCs w:val="18"/>
          <w:b w:val="1"/>
          <w:bCs w:val="1"/>
          <w:color w:val="auto"/>
        </w:rPr>
      </w:pPr>
    </w:p>
    <w:p>
      <w:pPr>
        <w:ind w:right="100" w:firstLine="559"/>
        <w:spacing w:after="0" w:line="255" w:lineRule="auto"/>
        <w:tabs>
          <w:tab w:leader="none" w:pos="805"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Application. </w:t>
      </w:r>
      <w:r>
        <w:rPr>
          <w:rFonts w:ascii="Times New Roman" w:cs="Times New Roman" w:eastAsia="Times New Roman" w:hAnsi="Times New Roman"/>
          <w:sz w:val="18"/>
          <w:szCs w:val="18"/>
          <w:color w:val="auto"/>
        </w:rPr>
        <w:t>Unless the provisions of this Section 11 are expressly superseded by the provisions in an Award Agreement,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11 will apply and will supersede anything to the contrary set forth in the Award Agreement for a Non-Exempt Award.</w:t>
      </w:r>
    </w:p>
    <w:p>
      <w:pPr>
        <w:spacing w:after="0" w:line="140" w:lineRule="exact"/>
        <w:rPr>
          <w:rFonts w:ascii="Times New Roman" w:cs="Times New Roman" w:eastAsia="Times New Roman" w:hAnsi="Times New Roman"/>
          <w:sz w:val="18"/>
          <w:szCs w:val="18"/>
          <w:b w:val="1"/>
          <w:bCs w:val="1"/>
          <w:color w:val="auto"/>
        </w:rPr>
      </w:pPr>
    </w:p>
    <w:p>
      <w:pPr>
        <w:ind w:right="100" w:firstLine="559"/>
        <w:spacing w:after="0" w:line="239" w:lineRule="auto"/>
        <w:tabs>
          <w:tab w:leader="none" w:pos="815"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Non-Exempt Awards Subject to Non-Exempt Severance Arrangements. </w:t>
      </w:r>
      <w:r>
        <w:rPr>
          <w:rFonts w:ascii="Times New Roman" w:cs="Times New Roman" w:eastAsia="Times New Roman" w:hAnsi="Times New Roman"/>
          <w:sz w:val="18"/>
          <w:szCs w:val="18"/>
          <w:color w:val="auto"/>
        </w:rPr>
        <w:t>To the extent a Non-Exempt Award is subject to Section 409A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application of a Non-Exempt Severance Arrangement, the following provisions of this Section 11(b) will apply.</w:t>
      </w:r>
    </w:p>
    <w:p>
      <w:pPr>
        <w:spacing w:after="0" w:line="172" w:lineRule="exact"/>
        <w:rPr>
          <w:rFonts w:ascii="Times New Roman" w:cs="Times New Roman" w:eastAsia="Times New Roman" w:hAnsi="Times New Roman"/>
          <w:sz w:val="18"/>
          <w:szCs w:val="18"/>
          <w:b w:val="1"/>
          <w:bCs w:val="1"/>
          <w:color w:val="auto"/>
        </w:rPr>
      </w:pPr>
    </w:p>
    <w:p>
      <w:pPr>
        <w:ind w:right="40" w:firstLine="1110"/>
        <w:spacing w:after="0" w:line="220" w:lineRule="auto"/>
        <w:tabs>
          <w:tab w:leader="none" w:pos="1316" w:val="left"/>
        </w:tabs>
        <w:numPr>
          <w:ilvl w:val="2"/>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Times New Roman" w:cs="Times New Roman" w:eastAsia="Times New Roman" w:hAnsi="Times New Roman"/>
          <w:sz w:val="9"/>
          <w:szCs w:val="9"/>
          <w:color w:val="auto"/>
        </w:rPr>
        <w:t>st</w:t>
      </w:r>
      <w:r>
        <w:rPr>
          <w:rFonts w:ascii="Times New Roman" w:cs="Times New Roman" w:eastAsia="Times New Roman" w:hAnsi="Times New Roman"/>
          <w:sz w:val="18"/>
          <w:szCs w:val="18"/>
          <w:color w:val="auto"/>
        </w:rPr>
        <w:t xml:space="preserve"> of the calendar year that includes the applicable vesting date; (ii) the 60</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xml:space="preserve"> day that follows the applicable vesting date; or (iii) any date that is permitted without incurring adverse tax consequences under Section 409A.</w:t>
      </w:r>
    </w:p>
    <w:p>
      <w:pPr>
        <w:spacing w:after="0" w:line="158" w:lineRule="exact"/>
        <w:rPr>
          <w:rFonts w:ascii="Times New Roman" w:cs="Times New Roman" w:eastAsia="Times New Roman" w:hAnsi="Times New Roman"/>
          <w:sz w:val="18"/>
          <w:szCs w:val="18"/>
          <w:b w:val="1"/>
          <w:bCs w:val="1"/>
          <w:color w:val="auto"/>
        </w:rPr>
      </w:pPr>
    </w:p>
    <w:p>
      <w:pPr>
        <w:ind w:right="40" w:firstLine="1110"/>
        <w:spacing w:after="0" w:line="217" w:lineRule="auto"/>
        <w:tabs>
          <w:tab w:leader="none" w:pos="1366" w:val="left"/>
        </w:tabs>
        <w:numPr>
          <w:ilvl w:val="2"/>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will not be issued before the date that is six months following the date of such Participant’s Separation from Service, or, if earlier, the date of the Participant’s death that occurs within such six month period.</w:t>
      </w:r>
    </w:p>
    <w:p>
      <w:pPr>
        <w:spacing w:after="0" w:line="163" w:lineRule="exact"/>
        <w:rPr>
          <w:rFonts w:ascii="Times New Roman" w:cs="Times New Roman" w:eastAsia="Times New Roman" w:hAnsi="Times New Roman"/>
          <w:sz w:val="18"/>
          <w:szCs w:val="18"/>
          <w:b w:val="1"/>
          <w:bCs w:val="1"/>
          <w:color w:val="auto"/>
        </w:rPr>
      </w:pPr>
    </w:p>
    <w:p>
      <w:pPr>
        <w:ind w:right="80" w:firstLine="1110"/>
        <w:spacing w:after="0" w:line="217" w:lineRule="auto"/>
        <w:tabs>
          <w:tab w:leader="none" w:pos="1416" w:val="left"/>
        </w:tabs>
        <w:numPr>
          <w:ilvl w:val="2"/>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will not accelerate the issuance date of the shares, but the shares will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130" w:lineRule="exact"/>
        <w:rPr>
          <w:rFonts w:ascii="Times New Roman" w:cs="Times New Roman" w:eastAsia="Times New Roman" w:hAnsi="Times New Roman"/>
          <w:sz w:val="18"/>
          <w:szCs w:val="18"/>
          <w:b w:val="1"/>
          <w:bCs w:val="1"/>
          <w:color w:val="auto"/>
        </w:rPr>
      </w:pPr>
    </w:p>
    <w:p>
      <w:pPr>
        <w:ind w:right="40" w:firstLine="559"/>
        <w:spacing w:after="0" w:line="227" w:lineRule="auto"/>
        <w:tabs>
          <w:tab w:leader="none" w:pos="795"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Treatment of Non-Exempt Awards Upon a Transaction for Employees and Consultants. </w:t>
      </w:r>
      <w:r>
        <w:rPr>
          <w:rFonts w:ascii="Times New Roman" w:cs="Times New Roman" w:eastAsia="Times New Roman" w:hAnsi="Times New Roman"/>
          <w:sz w:val="18"/>
          <w:szCs w:val="18"/>
          <w:color w:val="auto"/>
        </w:rPr>
        <w:t>The provisions of this Section 11(c) will apply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supersede anything to the contrary set forth in the Plan with respect to the permitted treatment of any Non-Exempt Award in connection with a Transaction if the Participant was either an Employee or Consultant upon the applicable date of grant of the Non-Exempt Award.</w:t>
      </w:r>
    </w:p>
    <w:p>
      <w:pPr>
        <w:spacing w:after="0" w:line="168" w:lineRule="exact"/>
        <w:rPr>
          <w:rFonts w:ascii="Times New Roman" w:cs="Times New Roman" w:eastAsia="Times New Roman" w:hAnsi="Times New Roman"/>
          <w:sz w:val="18"/>
          <w:szCs w:val="18"/>
          <w:b w:val="1"/>
          <w:bCs w:val="1"/>
          <w:color w:val="auto"/>
        </w:rPr>
      </w:pPr>
    </w:p>
    <w:p>
      <w:pPr>
        <w:ind w:left="1320" w:hanging="210"/>
        <w:spacing w:after="0"/>
        <w:tabs>
          <w:tab w:leader="none" w:pos="1320" w:val="left"/>
        </w:tabs>
        <w:numPr>
          <w:ilvl w:val="2"/>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Vested Non-Exempt Awards. </w:t>
      </w:r>
      <w:r>
        <w:rPr>
          <w:rFonts w:ascii="Times New Roman" w:cs="Times New Roman" w:eastAsia="Times New Roman" w:hAnsi="Times New Roman"/>
          <w:sz w:val="18"/>
          <w:szCs w:val="18"/>
          <w:color w:val="auto"/>
        </w:rPr>
        <w:t>The following provisions will apply to any Vested Non-Exempt Award in connection with a Transaction:</w:t>
      </w:r>
    </w:p>
    <w:p>
      <w:pPr>
        <w:spacing w:after="0" w:line="188" w:lineRule="exact"/>
        <w:rPr>
          <w:rFonts w:ascii="Times New Roman" w:cs="Times New Roman" w:eastAsia="Times New Roman" w:hAnsi="Times New Roman"/>
          <w:sz w:val="18"/>
          <w:szCs w:val="18"/>
          <w:b w:val="1"/>
          <w:bCs w:val="1"/>
          <w:color w:val="auto"/>
        </w:rPr>
      </w:pPr>
    </w:p>
    <w:p>
      <w:pPr>
        <w:ind w:right="180" w:firstLine="2211"/>
        <w:spacing w:after="0" w:line="231" w:lineRule="auto"/>
        <w:tabs>
          <w:tab w:leader="none" w:pos="2458" w:val="left"/>
        </w:tabs>
        <w:numPr>
          <w:ilvl w:val="3"/>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88" w:name="page89"/>
    <w:bookmarkEnd w:id="88"/>
    <w:p>
      <w:pPr>
        <w:ind w:right="280"/>
        <w:spacing w:after="0" w:line="250" w:lineRule="auto"/>
        <w:rPr>
          <w:sz w:val="20"/>
          <w:szCs w:val="20"/>
          <w:color w:val="auto"/>
        </w:rPr>
      </w:pPr>
      <w:r>
        <w:rPr>
          <w:rFonts w:ascii="Times New Roman" w:cs="Times New Roman" w:eastAsia="Times New Roman" w:hAnsi="Times New Roman"/>
          <w:sz w:val="18"/>
          <w:szCs w:val="18"/>
          <w:color w:val="auto"/>
        </w:rPr>
        <w:t>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149" w:lineRule="exact"/>
        <w:rPr>
          <w:sz w:val="20"/>
          <w:szCs w:val="20"/>
          <w:color w:val="auto"/>
        </w:rPr>
      </w:pPr>
    </w:p>
    <w:p>
      <w:pPr>
        <w:ind w:right="120" w:firstLine="2211"/>
        <w:spacing w:after="0" w:line="220" w:lineRule="auto"/>
        <w:tabs>
          <w:tab w:leader="none" w:pos="2458" w:val="left"/>
        </w:tabs>
        <w:numPr>
          <w:ilvl w:val="2"/>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Transaction is not also a Section 409A Change in Control, then the Acquiring Entity must either assume, continue or substitute each Vested Non-Exempt Award. The shares to be issued in respect of the Vested Non-Exempt Award will be issued to the Participant by the Acquiring Entity on the same schedule that the shares would have been issued to the Participant if the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Transaction.</w:t>
      </w:r>
    </w:p>
    <w:p>
      <w:pPr>
        <w:spacing w:after="0" w:line="153" w:lineRule="exact"/>
        <w:rPr>
          <w:rFonts w:ascii="Times New Roman" w:cs="Times New Roman" w:eastAsia="Times New Roman" w:hAnsi="Times New Roman"/>
          <w:sz w:val="18"/>
          <w:szCs w:val="18"/>
          <w:b w:val="1"/>
          <w:bCs w:val="1"/>
          <w:color w:val="auto"/>
        </w:rPr>
      </w:pPr>
    </w:p>
    <w:p>
      <w:pPr>
        <w:ind w:firstLine="1110"/>
        <w:spacing w:after="0" w:line="239" w:lineRule="auto"/>
        <w:tabs>
          <w:tab w:leader="none" w:pos="1366" w:val="left"/>
        </w:tabs>
        <w:numPr>
          <w:ilvl w:val="1"/>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Unvested Non-Exempt Awards. </w:t>
      </w:r>
      <w:r>
        <w:rPr>
          <w:rFonts w:ascii="Times New Roman" w:cs="Times New Roman" w:eastAsia="Times New Roman" w:hAnsi="Times New Roman"/>
          <w:sz w:val="18"/>
          <w:szCs w:val="18"/>
          <w:color w:val="auto"/>
        </w:rPr>
        <w:t>The following provisions will apply to any Unvested Non-Exempt Award unless otherwise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Board pursuant to Section 11(e).</w:t>
      </w:r>
    </w:p>
    <w:p>
      <w:pPr>
        <w:spacing w:after="0" w:line="172" w:lineRule="exact"/>
        <w:rPr>
          <w:rFonts w:ascii="Times New Roman" w:cs="Times New Roman" w:eastAsia="Times New Roman" w:hAnsi="Times New Roman"/>
          <w:sz w:val="18"/>
          <w:szCs w:val="18"/>
          <w:b w:val="1"/>
          <w:bCs w:val="1"/>
          <w:color w:val="auto"/>
        </w:rPr>
      </w:pPr>
    </w:p>
    <w:p>
      <w:pPr>
        <w:ind w:right="20" w:firstLine="2211"/>
        <w:spacing w:after="0" w:line="215" w:lineRule="auto"/>
        <w:tabs>
          <w:tab w:leader="none" w:pos="2458" w:val="left"/>
        </w:tabs>
        <w:numPr>
          <w:ilvl w:val="2"/>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Transaction, the Acquiring Entity will assume, continue or substitute any Unvested Non-Exempt Award. Unless otherwise determined by the Board, any Unvested Non-Exempt Award will remain subject to the same vesting and forfeiture restrictions that were applicable to the Award prior to the Transaction. The shares to be issued in respect of any Unvested Non-Exempt Award will be issued to the Participant by the Acquiring Entity on the same schedule that the shares would have been issued to the Participant if the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Transaction.</w:t>
      </w:r>
    </w:p>
    <w:p>
      <w:pPr>
        <w:spacing w:after="0" w:line="173" w:lineRule="exact"/>
        <w:rPr>
          <w:rFonts w:ascii="Times New Roman" w:cs="Times New Roman" w:eastAsia="Times New Roman" w:hAnsi="Times New Roman"/>
          <w:sz w:val="18"/>
          <w:szCs w:val="18"/>
          <w:b w:val="1"/>
          <w:bCs w:val="1"/>
          <w:color w:val="auto"/>
        </w:rPr>
      </w:pPr>
    </w:p>
    <w:p>
      <w:pPr>
        <w:ind w:firstLine="2211"/>
        <w:spacing w:after="0" w:line="215" w:lineRule="auto"/>
        <w:tabs>
          <w:tab w:leader="none" w:pos="2458" w:val="left"/>
        </w:tabs>
        <w:numPr>
          <w:ilvl w:val="2"/>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Acquiring Entity will not assume, substitute or continue any Unvested Non-Exempt Award in connection with a Transaction, then such Award will automatically terminate and be forfeited upon the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Transaction, or instead substitute a cash payment equal to the Fair Market Value of such shares that would otherwise be issued to the Participant, as further provided in Section 11(e)(ii). In the absence of such discretionary election by the Board, any Unvested Non-Exempt Award will be forfeited without payment of any consideration to the affected Participants if the Acquiring Entity will not assume, substitute or continue the Unvested Non-Exempt Awards in connection with the Transaction.</w:t>
      </w:r>
    </w:p>
    <w:p>
      <w:pPr>
        <w:spacing w:after="0" w:line="163" w:lineRule="exact"/>
        <w:rPr>
          <w:rFonts w:ascii="Times New Roman" w:cs="Times New Roman" w:eastAsia="Times New Roman" w:hAnsi="Times New Roman"/>
          <w:sz w:val="18"/>
          <w:szCs w:val="18"/>
          <w:b w:val="1"/>
          <w:bCs w:val="1"/>
          <w:color w:val="auto"/>
        </w:rPr>
      </w:pPr>
    </w:p>
    <w:p>
      <w:pPr>
        <w:ind w:right="680" w:firstLine="2211"/>
        <w:spacing w:after="0" w:line="250" w:lineRule="auto"/>
        <w:tabs>
          <w:tab w:leader="none" w:pos="2458" w:val="left"/>
        </w:tabs>
        <w:numPr>
          <w:ilvl w:val="2"/>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foregoing treatment will apply with respect to all Unvested Non-Exempt Awards upon any Transaction, and regardless of whether or not such Transaction is also a Section 409A Change in Control.</w:t>
      </w:r>
    </w:p>
    <w:p>
      <w:pPr>
        <w:spacing w:after="0" w:line="145" w:lineRule="exact"/>
        <w:rPr>
          <w:rFonts w:ascii="Times New Roman" w:cs="Times New Roman" w:eastAsia="Times New Roman" w:hAnsi="Times New Roman"/>
          <w:sz w:val="18"/>
          <w:szCs w:val="18"/>
          <w:b w:val="1"/>
          <w:bCs w:val="1"/>
          <w:color w:val="auto"/>
        </w:rPr>
      </w:pPr>
    </w:p>
    <w:p>
      <w:pPr>
        <w:ind w:right="40" w:firstLine="559"/>
        <w:spacing w:after="0" w:line="232" w:lineRule="auto"/>
        <w:tabs>
          <w:tab w:leader="none" w:pos="815"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Treatment of Non-Exempt Awards Upon a Transaction for Non-Employee Directors. </w:t>
      </w:r>
      <w:r>
        <w:rPr>
          <w:rFonts w:ascii="Times New Roman" w:cs="Times New Roman" w:eastAsia="Times New Roman" w:hAnsi="Times New Roman"/>
          <w:sz w:val="18"/>
          <w:szCs w:val="18"/>
          <w:color w:val="auto"/>
        </w:rPr>
        <w:t>The following provisions of this Section 11(d)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apply and will supersede anything to the contrary that may be set forth in the Plan with respect to the permitted treatment of a Non-Exempt Director Award in connection with a Transaction.</w:t>
      </w:r>
    </w:p>
    <w:p>
      <w:pPr>
        <w:spacing w:after="0" w:line="159" w:lineRule="exact"/>
        <w:rPr>
          <w:rFonts w:ascii="Times New Roman" w:cs="Times New Roman" w:eastAsia="Times New Roman" w:hAnsi="Times New Roman"/>
          <w:sz w:val="18"/>
          <w:szCs w:val="18"/>
          <w:b w:val="1"/>
          <w:bCs w:val="1"/>
          <w:color w:val="auto"/>
        </w:rPr>
      </w:pPr>
    </w:p>
    <w:p>
      <w:pPr>
        <w:ind w:right="140" w:firstLine="1110"/>
        <w:spacing w:after="0" w:line="220" w:lineRule="auto"/>
        <w:tabs>
          <w:tab w:leader="none" w:pos="1316" w:val="left"/>
        </w:tabs>
        <w:numPr>
          <w:ilvl w:val="1"/>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spacing w:after="0" w:line="172" w:lineRule="exact"/>
        <w:rPr>
          <w:sz w:val="20"/>
          <w:szCs w:val="20"/>
          <w:color w:val="auto"/>
        </w:rPr>
      </w:pPr>
    </w:p>
    <w:p>
      <w:pPr>
        <w:ind w:right="20" w:firstLine="1110"/>
        <w:spacing w:after="0" w:line="217" w:lineRule="auto"/>
        <w:tabs>
          <w:tab w:leader="none" w:pos="1366" w:val="left"/>
        </w:tabs>
        <w:numPr>
          <w:ilvl w:val="1"/>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Transaction. The shares to be issued in respect of the Non-Exempt Director Award will be issued to the Participant by the Acquiring Entity on the same schedule that the shares would have been issued to the Participant if the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Transaction.</w:t>
      </w:r>
    </w:p>
    <w:p>
      <w:pPr>
        <w:spacing w:after="0" w:line="161" w:lineRule="exact"/>
        <w:rPr>
          <w:rFonts w:ascii="Times New Roman" w:cs="Times New Roman" w:eastAsia="Times New Roman" w:hAnsi="Times New Roman"/>
          <w:sz w:val="18"/>
          <w:szCs w:val="18"/>
          <w:b w:val="1"/>
          <w:bCs w:val="1"/>
          <w:color w:val="auto"/>
        </w:rPr>
      </w:pPr>
    </w:p>
    <w:p>
      <w:pPr>
        <w:ind w:right="120" w:firstLine="559"/>
        <w:spacing w:after="0" w:line="237" w:lineRule="auto"/>
        <w:tabs>
          <w:tab w:leader="none" w:pos="795"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RSU Award is a Non-Exempt Award, then the provisions in this Section 11(e) will apply and supersede anything to the contrary that may be set forth in the Plan or the Award Agreement with respect to the permitted treatment of such Non-Exempt Award:</w:t>
      </w:r>
    </w:p>
    <w:p>
      <w:pPr>
        <w:spacing w:after="0" w:line="171" w:lineRule="exact"/>
        <w:rPr>
          <w:rFonts w:ascii="Times New Roman" w:cs="Times New Roman" w:eastAsia="Times New Roman" w:hAnsi="Times New Roman"/>
          <w:sz w:val="18"/>
          <w:szCs w:val="18"/>
          <w:b w:val="1"/>
          <w:bCs w:val="1"/>
          <w:color w:val="auto"/>
        </w:rPr>
      </w:pPr>
    </w:p>
    <w:p>
      <w:pPr>
        <w:ind w:right="180" w:firstLine="1110"/>
        <w:spacing w:after="0" w:line="226" w:lineRule="auto"/>
        <w:tabs>
          <w:tab w:leader="none" w:pos="1316"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exercise by the Board of discretion to accelerate the vesting of a Non-Exempt Award will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89" w:name="page90"/>
    <w:bookmarkEnd w:id="89"/>
    <w:p>
      <w:pPr>
        <w:ind w:right="240" w:firstLine="1110"/>
        <w:spacing w:after="0" w:line="250" w:lineRule="auto"/>
        <w:tabs>
          <w:tab w:leader="none" w:pos="1366"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explicitly reserves the right to earlier settle any Non-Exempt Award to the extent permitted and in compliance with the requirements of Section 409A, including pursuant to any of the exemptions available in Treasury Regulations Section 1.409A-3(j)(4)(ix).</w:t>
      </w:r>
    </w:p>
    <w:p>
      <w:pPr>
        <w:spacing w:after="0" w:line="149" w:lineRule="exact"/>
        <w:rPr>
          <w:rFonts w:ascii="Times New Roman" w:cs="Times New Roman" w:eastAsia="Times New Roman" w:hAnsi="Times New Roman"/>
          <w:sz w:val="18"/>
          <w:szCs w:val="18"/>
          <w:b w:val="1"/>
          <w:bCs w:val="1"/>
          <w:color w:val="auto"/>
        </w:rPr>
      </w:pPr>
    </w:p>
    <w:p>
      <w:pPr>
        <w:ind w:right="20" w:firstLine="1110"/>
        <w:spacing w:after="0" w:line="215" w:lineRule="auto"/>
        <w:tabs>
          <w:tab w:leader="none" w:pos="1416"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the terms of any Non-Exempt Award provide that it will be settled upon a Transaction, to the extent it is required for compliance with the requirements of Section 409A, the Transaction event triggering settlement must also constitute a Section 409A Change in Control. To the extent the terms of a Non-Exempt Award provide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will not be issued before the date that is six months following the date of the Participant’s Separation from Service, or, if earlier, the date of the Participant’s death that occurs within such six month period.</w:t>
      </w:r>
    </w:p>
    <w:p>
      <w:pPr>
        <w:spacing w:after="0" w:line="177" w:lineRule="exact"/>
        <w:rPr>
          <w:rFonts w:ascii="Times New Roman" w:cs="Times New Roman" w:eastAsia="Times New Roman" w:hAnsi="Times New Roman"/>
          <w:sz w:val="18"/>
          <w:szCs w:val="18"/>
          <w:b w:val="1"/>
          <w:bCs w:val="1"/>
          <w:color w:val="auto"/>
        </w:rPr>
      </w:pPr>
    </w:p>
    <w:p>
      <w:pPr>
        <w:ind w:right="80" w:firstLine="1110"/>
        <w:spacing w:after="0" w:line="226" w:lineRule="auto"/>
        <w:tabs>
          <w:tab w:leader="none" w:pos="1406"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in this Section 11(e) for delivery of the shares in respect of the settlement of a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126"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EVERABILITY</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right="160" w:firstLine="551"/>
        <w:spacing w:after="0" w:line="236" w:lineRule="auto"/>
        <w:rPr>
          <w:sz w:val="20"/>
          <w:szCs w:val="20"/>
          <w:color w:val="auto"/>
        </w:rPr>
      </w:pPr>
      <w:r>
        <w:rPr>
          <w:rFonts w:ascii="Times New Roman" w:cs="Times New Roman" w:eastAsia="Times New Roman" w:hAnsi="Times New Roman"/>
          <w:sz w:val="17"/>
          <w:szCs w:val="17"/>
          <w:color w:val="auto"/>
        </w:rPr>
        <w:t>If all or any part of the Plan or any Award Agreement is declared by any court or governmental authority to be unlawful or invalid, such unlawfulness or invalidity will not invalidate any portion of the Plan or such Award Agreement not declared to be unlawful or invalid. Any Section of the</w:t>
      </w:r>
    </w:p>
    <w:p>
      <w:pPr>
        <w:ind w:right="200"/>
        <w:spacing w:after="0" w:line="226" w:lineRule="auto"/>
        <w:rPr>
          <w:sz w:val="20"/>
          <w:szCs w:val="20"/>
          <w:color w:val="auto"/>
        </w:rPr>
      </w:pPr>
      <w:r>
        <w:rPr>
          <w:rFonts w:ascii="Times New Roman" w:cs="Times New Roman" w:eastAsia="Times New Roman" w:hAnsi="Times New Roman"/>
          <w:sz w:val="18"/>
          <w:szCs w:val="18"/>
          <w:color w:val="auto"/>
        </w:rPr>
        <w:t>Plan or any Award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53" w:lineRule="exact"/>
        <w:rPr>
          <w:sz w:val="20"/>
          <w:szCs w:val="20"/>
          <w:color w:val="auto"/>
        </w:rPr>
      </w:pPr>
    </w:p>
    <w:p>
      <w:pPr>
        <w:ind w:left="280" w:hanging="272"/>
        <w:spacing w:after="0"/>
        <w:tabs>
          <w:tab w:leader="none" w:pos="28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3"/>
          <w:szCs w:val="13"/>
          <w:b w:val="1"/>
          <w:bCs w:val="1"/>
          <w:color w:val="auto"/>
        </w:rPr>
        <w:t>ERMINATION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w:t>
      </w:r>
    </w:p>
    <w:p>
      <w:pPr>
        <w:spacing w:after="0" w:line="202" w:lineRule="exact"/>
        <w:rPr>
          <w:sz w:val="20"/>
          <w:szCs w:val="20"/>
          <w:color w:val="auto"/>
        </w:rPr>
      </w:pPr>
    </w:p>
    <w:p>
      <w:pPr>
        <w:jc w:val="both"/>
        <w:ind w:right="80" w:firstLine="551"/>
        <w:spacing w:after="0" w:line="226" w:lineRule="auto"/>
        <w:rPr>
          <w:sz w:val="20"/>
          <w:szCs w:val="20"/>
          <w:color w:val="auto"/>
        </w:rPr>
      </w:pPr>
      <w:r>
        <w:rPr>
          <w:rFonts w:ascii="Times New Roman" w:cs="Times New Roman" w:eastAsia="Times New Roman" w:hAnsi="Times New Roman"/>
          <w:sz w:val="18"/>
          <w:szCs w:val="18"/>
          <w:color w:val="auto"/>
        </w:rPr>
        <w:t>The Board may suspend or terminate the Plan at any time. Unless terminated sooner by the Board, the Plan will automatically terminate on the day before the tenth anniversary of the earlier of: (i) the Adoption Date; or (ii) the Effective Date. No Awards may be granted under the Plan while the Plan is suspended or after it is terminated.</w:t>
      </w:r>
    </w:p>
    <w:p>
      <w:pPr>
        <w:spacing w:after="0" w:line="167" w:lineRule="exact"/>
        <w:rPr>
          <w:sz w:val="20"/>
          <w:szCs w:val="20"/>
          <w:color w:val="auto"/>
        </w:rPr>
      </w:pPr>
    </w:p>
    <w:p>
      <w:pPr>
        <w:ind w:left="280" w:hanging="272"/>
        <w:spacing w:after="0"/>
        <w:tabs>
          <w:tab w:leader="none" w:pos="28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3"/>
          <w:szCs w:val="13"/>
          <w:b w:val="1"/>
          <w:bCs w:val="1"/>
          <w:color w:val="auto"/>
        </w:rPr>
        <w:t>EFINITIONS</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the Plan, the following definitions apply to the capitalized terms indicated below:</w:t>
      </w:r>
    </w:p>
    <w:p>
      <w:pPr>
        <w:spacing w:after="0" w:line="181" w:lineRule="exact"/>
        <w:rPr>
          <w:sz w:val="20"/>
          <w:szCs w:val="20"/>
          <w:color w:val="auto"/>
        </w:rPr>
      </w:pPr>
    </w:p>
    <w:p>
      <w:pPr>
        <w:ind w:right="280" w:firstLine="559"/>
        <w:spacing w:after="0" w:line="255" w:lineRule="auto"/>
        <w:tabs>
          <w:tab w:leader="none" w:pos="805"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Acquiring Entity</w:t>
      </w:r>
      <w:r>
        <w:rPr>
          <w:rFonts w:ascii="Times New Roman" w:cs="Times New Roman" w:eastAsia="Times New Roman" w:hAnsi="Times New Roman"/>
          <w:sz w:val="18"/>
          <w:szCs w:val="18"/>
          <w:color w:val="auto"/>
        </w:rPr>
        <w:t>” means the surviving or acquiring corporation (or the surviving or acquiring corporation’s parent company) in connection with a Transaction.</w:t>
      </w:r>
    </w:p>
    <w:p>
      <w:pPr>
        <w:spacing w:after="0" w:line="140" w:lineRule="exact"/>
        <w:rPr>
          <w:rFonts w:ascii="Times New Roman" w:cs="Times New Roman" w:eastAsia="Times New Roman" w:hAnsi="Times New Roman"/>
          <w:sz w:val="18"/>
          <w:szCs w:val="18"/>
          <w:b w:val="1"/>
          <w:bCs w:val="1"/>
          <w:color w:val="auto"/>
        </w:rPr>
      </w:pPr>
    </w:p>
    <w:p>
      <w:pPr>
        <w:ind w:left="820" w:hanging="261"/>
        <w:spacing w:after="0"/>
        <w:tabs>
          <w:tab w:leader="none" w:pos="8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Adoption Date</w:t>
      </w:r>
      <w:r>
        <w:rPr>
          <w:rFonts w:ascii="Times New Roman" w:cs="Times New Roman" w:eastAsia="Times New Roman" w:hAnsi="Times New Roman"/>
          <w:sz w:val="18"/>
          <w:szCs w:val="18"/>
          <w:color w:val="auto"/>
        </w:rPr>
        <w:t>” means the date the Plan is first approved by the Compensation Committee.</w:t>
      </w:r>
    </w:p>
    <w:p>
      <w:pPr>
        <w:spacing w:after="0" w:line="184" w:lineRule="exact"/>
        <w:rPr>
          <w:rFonts w:ascii="Times New Roman" w:cs="Times New Roman" w:eastAsia="Times New Roman" w:hAnsi="Times New Roman"/>
          <w:sz w:val="18"/>
          <w:szCs w:val="18"/>
          <w:b w:val="1"/>
          <w:bCs w:val="1"/>
          <w:color w:val="auto"/>
        </w:rPr>
      </w:pPr>
    </w:p>
    <w:p>
      <w:pPr>
        <w:jc w:val="both"/>
        <w:ind w:firstLine="559"/>
        <w:spacing w:after="0" w:line="255" w:lineRule="auto"/>
        <w:tabs>
          <w:tab w:leader="none" w:pos="795"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140" w:lineRule="exact"/>
        <w:rPr>
          <w:rFonts w:ascii="Times New Roman" w:cs="Times New Roman" w:eastAsia="Times New Roman" w:hAnsi="Times New Roman"/>
          <w:sz w:val="18"/>
          <w:szCs w:val="18"/>
          <w:b w:val="1"/>
          <w:bCs w:val="1"/>
          <w:color w:val="auto"/>
        </w:rPr>
      </w:pPr>
    </w:p>
    <w:p>
      <w:pPr>
        <w:ind w:left="820" w:hanging="261"/>
        <w:spacing w:after="0"/>
        <w:tabs>
          <w:tab w:leader="none" w:pos="8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means the first meeting of the Company’s stockholders held each calendar year at which Directors are selected.</w:t>
      </w:r>
    </w:p>
    <w:p>
      <w:pPr>
        <w:spacing w:after="0" w:line="184" w:lineRule="exact"/>
        <w:rPr>
          <w:rFonts w:ascii="Times New Roman" w:cs="Times New Roman" w:eastAsia="Times New Roman" w:hAnsi="Times New Roman"/>
          <w:sz w:val="18"/>
          <w:szCs w:val="18"/>
          <w:b w:val="1"/>
          <w:bCs w:val="1"/>
          <w:color w:val="auto"/>
        </w:rPr>
      </w:pPr>
    </w:p>
    <w:p>
      <w:pPr>
        <w:ind w:firstLine="559"/>
        <w:spacing w:after="0" w:line="225" w:lineRule="auto"/>
        <w:tabs>
          <w:tab w:leader="none" w:pos="795"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68" w:lineRule="exact"/>
        <w:rPr>
          <w:rFonts w:ascii="Times New Roman" w:cs="Times New Roman" w:eastAsia="Times New Roman" w:hAnsi="Times New Roman"/>
          <w:sz w:val="18"/>
          <w:szCs w:val="18"/>
          <w:b w:val="1"/>
          <w:bCs w:val="1"/>
          <w:color w:val="auto"/>
        </w:rPr>
      </w:pPr>
    </w:p>
    <w:p>
      <w:pPr>
        <w:ind w:right="240" w:firstLine="559"/>
        <w:spacing w:after="0" w:line="227" w:lineRule="auto"/>
        <w:tabs>
          <w:tab w:leader="none" w:pos="775"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Appreciation Award</w:t>
      </w:r>
      <w:r>
        <w:rPr>
          <w:rFonts w:ascii="Times New Roman" w:cs="Times New Roman" w:eastAsia="Times New Roman" w:hAnsi="Times New Roman"/>
          <w:sz w:val="18"/>
          <w:szCs w:val="18"/>
          <w:color w:val="auto"/>
        </w:rPr>
        <w:t>” means (i) a stock option or stock appreciation right granted under the Prior Plan or (ii) an Option or SAR, in each case with respect to which the exercise or strike price is at least 100% of the Fair Market Value of the Common Stock subject to the stock option or stock appreciation right, or Option or SAR, as applicable, on the date of grant.</w:t>
      </w:r>
    </w:p>
    <w:p>
      <w:pPr>
        <w:spacing w:after="0" w:line="168" w:lineRule="exact"/>
        <w:rPr>
          <w:rFonts w:ascii="Times New Roman" w:cs="Times New Roman" w:eastAsia="Times New Roman" w:hAnsi="Times New Roman"/>
          <w:sz w:val="18"/>
          <w:szCs w:val="18"/>
          <w:b w:val="1"/>
          <w:bCs w:val="1"/>
          <w:color w:val="auto"/>
        </w:rPr>
      </w:pPr>
    </w:p>
    <w:p>
      <w:pPr>
        <w:ind w:right="440" w:firstLine="559"/>
        <w:spacing w:after="0" w:line="239" w:lineRule="auto"/>
        <w:tabs>
          <w:tab w:leader="none" w:pos="805"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any right to receive Common Stock, cash or other property granted under the Plan (including an Incentive Stock Option, a Nonstatutory Stock Option, a SAR, a Restricted Stock Award, a RSU Award, a Performance Award or any Other Award).</w:t>
      </w:r>
    </w:p>
    <w:p>
      <w:pPr>
        <w:spacing w:after="0" w:line="154" w:lineRule="exact"/>
        <w:rPr>
          <w:rFonts w:ascii="Times New Roman" w:cs="Times New Roman" w:eastAsia="Times New Roman" w:hAnsi="Times New Roman"/>
          <w:sz w:val="18"/>
          <w:szCs w:val="18"/>
          <w:b w:val="1"/>
          <w:bCs w:val="1"/>
          <w:color w:val="auto"/>
        </w:rPr>
      </w:pPr>
    </w:p>
    <w:p>
      <w:pPr>
        <w:ind w:right="80" w:firstLine="559"/>
        <w:spacing w:after="0" w:line="255" w:lineRule="auto"/>
        <w:tabs>
          <w:tab w:leader="none" w:pos="816"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agreement between the Company and a Participant evidencing the terms and conditions of an Award. The Award Agreement generally consists of the Grant Notice and the agreement containing the written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summary of the general terms and conditions applicable to the Award and which is provided to a Participant along with the Grant Notice.</w:t>
      </w:r>
    </w:p>
    <w:p>
      <w:pPr>
        <w:spacing w:after="0" w:line="194" w:lineRule="exact"/>
        <w:rPr>
          <w:sz w:val="20"/>
          <w:szCs w:val="20"/>
          <w:color w:val="auto"/>
        </w:rPr>
      </w:pPr>
    </w:p>
    <w:p>
      <w:pPr>
        <w:ind w:right="80" w:firstLine="559"/>
        <w:spacing w:after="0" w:line="227" w:lineRule="auto"/>
        <w:tabs>
          <w:tab w:leader="none" w:pos="766"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 (or its designee). Any decision or determination made by the Board will be a decision or determination that is made in the sole discretion of the Board (or its designee), and such decision or determination will be final and binding on all Participants.</w:t>
      </w:r>
    </w:p>
    <w:p>
      <w:pPr>
        <w:spacing w:after="0" w:line="168" w:lineRule="exact"/>
        <w:rPr>
          <w:rFonts w:ascii="Times New Roman" w:cs="Times New Roman" w:eastAsia="Times New Roman" w:hAnsi="Times New Roman"/>
          <w:sz w:val="18"/>
          <w:szCs w:val="18"/>
          <w:b w:val="1"/>
          <w:bCs w:val="1"/>
          <w:color w:val="auto"/>
        </w:rPr>
      </w:pPr>
    </w:p>
    <w:p>
      <w:pPr>
        <w:ind w:right="20" w:firstLine="559"/>
        <w:spacing w:after="0" w:line="218" w:lineRule="auto"/>
        <w:tabs>
          <w:tab w:leader="none" w:pos="775"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color w:val="auto"/>
        </w:rPr>
        <w:t>” means any change that is made in, or other events that occur with respect to, the Common Stock subject to the Plan or subject to any Award after the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67" w:lineRule="exact"/>
        <w:rPr>
          <w:rFonts w:ascii="Times New Roman" w:cs="Times New Roman" w:eastAsia="Times New Roman" w:hAnsi="Times New Roman"/>
          <w:sz w:val="18"/>
          <w:szCs w:val="18"/>
          <w:b w:val="1"/>
          <w:bCs w:val="1"/>
          <w:color w:val="auto"/>
        </w:rPr>
      </w:pPr>
    </w:p>
    <w:p>
      <w:pPr>
        <w:ind w:right="20" w:firstLine="559"/>
        <w:spacing w:after="0" w:line="212" w:lineRule="auto"/>
        <w:tabs>
          <w:tab w:leader="none" w:pos="816"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xml:space="preserve">” has the meaning ascribed to such term in any written agreement between the Participant and the Company or an Affiliate defining such term and, in the absence of such agreement, such term means, with respect to a Participant, the occurrence of any of the following events: (i) such Participant’s commission of any crime involving fraud, dishonesty or moral turpitude; (ii) such Participant’s attempted commission of, or participation in, a fraud or act of dishonesty against the Company or an Affiliate that results in (or might have reasonably resulted in) material harm to the business of the Company or an Affiliate; (iii) such Participant’s intentional, material violation of any contract or agreement between such Participant and the Company or an Affiliate, or of any statutory duty such Participant owes to the Company or an Affiliate; or (iv) such Participant’s conduct that constitutes gross insubordination, incompetence or habitual neglect of duties and that results in (or might have reasonably resulted in) material harm to the business of the Company or an Affiliate;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action or conduct described in clauses (iii) and (iv) above will constitute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only if such action or conduct continues after the Company has provided such Participant with written notice thereof and not less than five business days to cure the same. The determination that a termination of the Participant’s Continuous Service is either for Cause or without Cause will be made by the Board with respect to Participants who are Officers and by the Chief Executive Officer of the Company with respect to Participants who are not Officers.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74" w:lineRule="exact"/>
        <w:rPr>
          <w:rFonts w:ascii="Times New Roman" w:cs="Times New Roman" w:eastAsia="Times New Roman" w:hAnsi="Times New Roman"/>
          <w:sz w:val="18"/>
          <w:szCs w:val="18"/>
          <w:b w:val="1"/>
          <w:bCs w:val="1"/>
          <w:color w:val="auto"/>
        </w:rPr>
      </w:pPr>
    </w:p>
    <w:p>
      <w:pPr>
        <w:ind w:right="220" w:firstLine="559"/>
        <w:spacing w:after="0" w:line="227" w:lineRule="auto"/>
        <w:tabs>
          <w:tab w:leader="none" w:pos="766"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xml:space="preserve">” means the occurrence, in a single transaction or in a series of related transactions, of any one or more of the following events;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to the extent necessary to avoid adverse personal income tax consequences to the Participant in connection with an Award, such transaction also constitutes a Section 409A Change in Control:</w:t>
      </w:r>
    </w:p>
    <w:p>
      <w:pPr>
        <w:spacing w:after="0" w:line="172" w:lineRule="exact"/>
        <w:rPr>
          <w:rFonts w:ascii="Times New Roman" w:cs="Times New Roman" w:eastAsia="Times New Roman" w:hAnsi="Times New Roman"/>
          <w:sz w:val="18"/>
          <w:szCs w:val="18"/>
          <w:b w:val="1"/>
          <w:bCs w:val="1"/>
          <w:color w:val="auto"/>
        </w:rPr>
      </w:pPr>
    </w:p>
    <w:p>
      <w:pPr>
        <w:ind w:firstLine="1110"/>
        <w:spacing w:after="0" w:line="213" w:lineRule="auto"/>
        <w:tabs>
          <w:tab w:leader="none" w:pos="1316" w:val="left"/>
        </w:tabs>
        <w:numPr>
          <w:ilvl w:val="1"/>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8"/>
          <w:szCs w:val="18"/>
          <w:b w:val="1"/>
          <w:bCs w:val="1"/>
          <w:i w:val="1"/>
          <w:iCs w:val="1"/>
          <w:color w:val="auto"/>
        </w:rPr>
        <w:t>Subject Person</w:t>
      </w:r>
      <w:r>
        <w:rPr>
          <w:rFonts w:ascii="Times New Roman" w:cs="Times New Roman" w:eastAsia="Times New Roman" w:hAnsi="Times New Roman"/>
          <w:sz w:val="18"/>
          <w:szCs w:val="18"/>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66" w:lineRule="exact"/>
        <w:rPr>
          <w:rFonts w:ascii="Times New Roman" w:cs="Times New Roman" w:eastAsia="Times New Roman" w:hAnsi="Times New Roman"/>
          <w:sz w:val="18"/>
          <w:szCs w:val="18"/>
          <w:b w:val="1"/>
          <w:bCs w:val="1"/>
          <w:color w:val="auto"/>
        </w:rPr>
      </w:pPr>
    </w:p>
    <w:p>
      <w:pPr>
        <w:ind w:firstLine="1110"/>
        <w:spacing w:after="0" w:line="220" w:lineRule="auto"/>
        <w:tabs>
          <w:tab w:leader="none" w:pos="1366" w:val="left"/>
        </w:tabs>
        <w:numPr>
          <w:ilvl w:val="1"/>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57" w:lineRule="exact"/>
        <w:rPr>
          <w:rFonts w:ascii="Times New Roman" w:cs="Times New Roman" w:eastAsia="Times New Roman" w:hAnsi="Times New Roman"/>
          <w:sz w:val="18"/>
          <w:szCs w:val="18"/>
          <w:b w:val="1"/>
          <w:bCs w:val="1"/>
          <w:color w:val="auto"/>
        </w:rPr>
      </w:pPr>
    </w:p>
    <w:p>
      <w:pPr>
        <w:ind w:right="380" w:firstLine="1110"/>
        <w:spacing w:after="0" w:line="250" w:lineRule="auto"/>
        <w:tabs>
          <w:tab w:leader="none" w:pos="1416" w:val="left"/>
        </w:tabs>
        <w:numPr>
          <w:ilvl w:val="1"/>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stockholders of the Company approve or the Board approves a plan of complete dissolution or liquidation of the Company, or a complete dissolution or liquidation of the Company shall otherwise occur, except for a liquidation into a parent corporation;</w:t>
      </w:r>
    </w:p>
    <w:p>
      <w:pPr>
        <w:spacing w:after="0" w:line="149" w:lineRule="exact"/>
        <w:rPr>
          <w:rFonts w:ascii="Times New Roman" w:cs="Times New Roman" w:eastAsia="Times New Roman" w:hAnsi="Times New Roman"/>
          <w:sz w:val="18"/>
          <w:szCs w:val="18"/>
          <w:b w:val="1"/>
          <w:bCs w:val="1"/>
          <w:color w:val="auto"/>
        </w:rPr>
      </w:pPr>
    </w:p>
    <w:p>
      <w:pPr>
        <w:ind w:right="100" w:firstLine="1110"/>
        <w:spacing w:after="0" w:line="220" w:lineRule="auto"/>
        <w:tabs>
          <w:tab w:leader="none" w:pos="1406" w:val="left"/>
        </w:tabs>
        <w:numPr>
          <w:ilvl w:val="1"/>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91" w:name="page92"/>
    <w:bookmarkEnd w:id="91"/>
    <w:p>
      <w:pPr>
        <w:ind w:right="40" w:firstLine="1110"/>
        <w:spacing w:after="0" w:line="225" w:lineRule="auto"/>
        <w:tabs>
          <w:tab w:leader="none" w:pos="1356"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individuals who, on the date the Plan is adopted by the Compensation Committee, are members of the Board (the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xml:space="preserve">”) cease for any reason to constitute at least a majority of the members of the Board;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173" w:lineRule="exact"/>
        <w:rPr>
          <w:sz w:val="20"/>
          <w:szCs w:val="20"/>
          <w:color w:val="auto"/>
        </w:rPr>
      </w:pPr>
    </w:p>
    <w:p>
      <w:pPr>
        <w:ind w:right="100" w:firstLine="551"/>
        <w:spacing w:after="0" w:line="216"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Change in Control will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will supersede the foregoing definition with respect to</w:t>
      </w:r>
    </w:p>
    <w:p>
      <w:pPr>
        <w:spacing w:after="0" w:line="1"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7"/>
          <w:szCs w:val="17"/>
          <w:color w:val="auto"/>
        </w:rPr>
        <w:t xml:space="preserve">Awards subject to such agreement;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(1) if no definition of Change in Control (or any analogous term) is set forth in such an individual written agreement, the foregoing definition will apply; and (2) no Change in Control (or any analogous term) will be deemed to occur with respect to Awards subject to such an individual written agreement without a requirement that the Change in Control (or any analogous term) actually occur.</w:t>
      </w:r>
    </w:p>
    <w:p>
      <w:pPr>
        <w:spacing w:after="0" w:line="168" w:lineRule="exact"/>
        <w:rPr>
          <w:sz w:val="20"/>
          <w:szCs w:val="20"/>
          <w:color w:val="auto"/>
        </w:rPr>
      </w:pPr>
    </w:p>
    <w:p>
      <w:pPr>
        <w:ind w:left="880" w:hanging="321"/>
        <w:spacing w:after="0"/>
        <w:tabs>
          <w:tab w:leader="none" w:pos="88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p>
    <w:p>
      <w:pPr>
        <w:spacing w:after="0" w:line="184" w:lineRule="exact"/>
        <w:rPr>
          <w:rFonts w:ascii="Times New Roman" w:cs="Times New Roman" w:eastAsia="Times New Roman" w:hAnsi="Times New Roman"/>
          <w:sz w:val="18"/>
          <w:szCs w:val="18"/>
          <w:b w:val="1"/>
          <w:bCs w:val="1"/>
          <w:color w:val="auto"/>
        </w:rPr>
      </w:pPr>
    </w:p>
    <w:p>
      <w:pPr>
        <w:ind w:right="60" w:firstLine="559"/>
        <w:spacing w:after="0" w:line="239" w:lineRule="auto"/>
        <w:tabs>
          <w:tab w:leader="none" w:pos="816"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Compensation Committee and any other committee of Directors to whom authority has been delegated by the Board or Compensation Committee in accordance with the Plan.</w:t>
      </w:r>
    </w:p>
    <w:p>
      <w:pPr>
        <w:spacing w:after="0" w:line="168" w:lineRule="exact"/>
        <w:rPr>
          <w:rFonts w:ascii="Times New Roman" w:cs="Times New Roman" w:eastAsia="Times New Roman" w:hAnsi="Times New Roman"/>
          <w:sz w:val="18"/>
          <w:szCs w:val="18"/>
          <w:b w:val="1"/>
          <w:bCs w:val="1"/>
          <w:color w:val="auto"/>
        </w:rPr>
      </w:pPr>
    </w:p>
    <w:p>
      <w:pPr>
        <w:ind w:left="820" w:hanging="261"/>
        <w:spacing w:after="0"/>
        <w:tabs>
          <w:tab w:leader="none" w:pos="82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184" w:lineRule="exact"/>
        <w:rPr>
          <w:rFonts w:ascii="Times New Roman" w:cs="Times New Roman" w:eastAsia="Times New Roman" w:hAnsi="Times New Roman"/>
          <w:sz w:val="18"/>
          <w:szCs w:val="18"/>
          <w:b w:val="1"/>
          <w:bCs w:val="1"/>
          <w:color w:val="auto"/>
        </w:rPr>
      </w:pPr>
    </w:p>
    <w:p>
      <w:pPr>
        <w:ind w:left="820" w:hanging="261"/>
        <w:spacing w:after="0"/>
        <w:tabs>
          <w:tab w:leader="none" w:pos="82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Neurocrine Biosciences, Inc., a Delaware corporation.</w:t>
      </w:r>
    </w:p>
    <w:p>
      <w:pPr>
        <w:spacing w:after="0" w:line="184" w:lineRule="exact"/>
        <w:rPr>
          <w:rFonts w:ascii="Times New Roman" w:cs="Times New Roman" w:eastAsia="Times New Roman" w:hAnsi="Times New Roman"/>
          <w:sz w:val="18"/>
          <w:szCs w:val="18"/>
          <w:b w:val="1"/>
          <w:bCs w:val="1"/>
          <w:color w:val="auto"/>
        </w:rPr>
      </w:pPr>
    </w:p>
    <w:p>
      <w:pPr>
        <w:ind w:left="820" w:hanging="261"/>
        <w:spacing w:after="0"/>
        <w:tabs>
          <w:tab w:leader="none" w:pos="82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means the Compensation Committee of the Board.</w:t>
      </w:r>
    </w:p>
    <w:p>
      <w:pPr>
        <w:spacing w:after="0" w:line="184" w:lineRule="exact"/>
        <w:rPr>
          <w:rFonts w:ascii="Times New Roman" w:cs="Times New Roman" w:eastAsia="Times New Roman" w:hAnsi="Times New Roman"/>
          <w:sz w:val="18"/>
          <w:szCs w:val="18"/>
          <w:b w:val="1"/>
          <w:bCs w:val="1"/>
          <w:color w:val="auto"/>
        </w:rPr>
      </w:pPr>
    </w:p>
    <w:p>
      <w:pPr>
        <w:ind w:right="80" w:firstLine="559"/>
        <w:spacing w:after="0" w:line="224" w:lineRule="auto"/>
        <w:tabs>
          <w:tab w:leader="none" w:pos="795"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54" w:lineRule="exact"/>
        <w:rPr>
          <w:rFonts w:ascii="Times New Roman" w:cs="Times New Roman" w:eastAsia="Times New Roman" w:hAnsi="Times New Roman"/>
          <w:sz w:val="18"/>
          <w:szCs w:val="18"/>
          <w:b w:val="1"/>
          <w:bCs w:val="1"/>
          <w:color w:val="auto"/>
        </w:rPr>
      </w:pPr>
    </w:p>
    <w:p>
      <w:pPr>
        <w:ind w:firstLine="559"/>
        <w:spacing w:after="0" w:line="213" w:lineRule="auto"/>
        <w:tabs>
          <w:tab w:leader="none" w:pos="786"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160" w:lineRule="exact"/>
        <w:rPr>
          <w:rFonts w:ascii="Times New Roman" w:cs="Times New Roman" w:eastAsia="Times New Roman" w:hAnsi="Times New Roman"/>
          <w:sz w:val="18"/>
          <w:szCs w:val="18"/>
          <w:b w:val="1"/>
          <w:bCs w:val="1"/>
          <w:color w:val="auto"/>
        </w:rPr>
      </w:pPr>
    </w:p>
    <w:p>
      <w:pPr>
        <w:ind w:right="540" w:firstLine="559"/>
        <w:spacing w:after="0" w:line="239" w:lineRule="auto"/>
        <w:tabs>
          <w:tab w:leader="none" w:pos="775"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160" w:lineRule="exact"/>
        <w:rPr>
          <w:rFonts w:ascii="Times New Roman" w:cs="Times New Roman" w:eastAsia="Times New Roman" w:hAnsi="Times New Roman"/>
          <w:sz w:val="18"/>
          <w:szCs w:val="18"/>
          <w:b w:val="1"/>
          <w:bCs w:val="1"/>
          <w:color w:val="auto"/>
        </w:rPr>
      </w:pPr>
    </w:p>
    <w:p>
      <w:pPr>
        <w:ind w:left="1320" w:hanging="210"/>
        <w:spacing w:after="0"/>
        <w:tabs>
          <w:tab w:leader="none" w:pos="1320" w:val="left"/>
        </w:tabs>
        <w:numPr>
          <w:ilvl w:val="1"/>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of the consolidated assets of the Company and its</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Subsidiaries;</w:t>
      </w:r>
    </w:p>
    <w:p>
      <w:pPr>
        <w:spacing w:after="0" w:line="164" w:lineRule="exact"/>
        <w:rPr>
          <w:rFonts w:ascii="Times New Roman" w:cs="Times New Roman" w:eastAsia="Times New Roman" w:hAnsi="Times New Roman"/>
          <w:sz w:val="18"/>
          <w:szCs w:val="18"/>
          <w:b w:val="1"/>
          <w:bCs w:val="1"/>
          <w:color w:val="auto"/>
        </w:rPr>
      </w:pPr>
    </w:p>
    <w:p>
      <w:pPr>
        <w:ind w:left="1380" w:hanging="270"/>
        <w:spacing w:after="0"/>
        <w:tabs>
          <w:tab w:leader="none" w:pos="1380" w:val="left"/>
        </w:tabs>
        <w:numPr>
          <w:ilvl w:val="1"/>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at least 90% of the outstanding securities of the Company;</w:t>
      </w:r>
    </w:p>
    <w:p>
      <w:pPr>
        <w:spacing w:after="0" w:line="198" w:lineRule="exact"/>
        <w:rPr>
          <w:rFonts w:ascii="Times New Roman" w:cs="Times New Roman" w:eastAsia="Times New Roman" w:hAnsi="Times New Roman"/>
          <w:sz w:val="18"/>
          <w:szCs w:val="18"/>
          <w:b w:val="1"/>
          <w:bCs w:val="1"/>
          <w:color w:val="auto"/>
        </w:rPr>
      </w:pPr>
    </w:p>
    <w:p>
      <w:pPr>
        <w:ind w:left="1420" w:hanging="310"/>
        <w:spacing w:after="0"/>
        <w:tabs>
          <w:tab w:leader="none" w:pos="1420" w:val="left"/>
        </w:tabs>
        <w:numPr>
          <w:ilvl w:val="1"/>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184" w:lineRule="exact"/>
        <w:rPr>
          <w:rFonts w:ascii="Times New Roman" w:cs="Times New Roman" w:eastAsia="Times New Roman" w:hAnsi="Times New Roman"/>
          <w:sz w:val="18"/>
          <w:szCs w:val="18"/>
          <w:b w:val="1"/>
          <w:bCs w:val="1"/>
          <w:color w:val="auto"/>
        </w:rPr>
      </w:pPr>
    </w:p>
    <w:p>
      <w:pPr>
        <w:ind w:firstLine="1110"/>
        <w:spacing w:after="0" w:line="231" w:lineRule="auto"/>
        <w:tabs>
          <w:tab w:leader="none" w:pos="1406" w:val="left"/>
        </w:tabs>
        <w:numPr>
          <w:ilvl w:val="1"/>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1" w:right="359" w:bottom="1440" w:gutter="0" w:footer="0" w:header="0"/>
        </w:sectPr>
      </w:pPr>
    </w:p>
    <w:bookmarkStart w:id="92" w:name="page93"/>
    <w:bookmarkEnd w:id="92"/>
    <w:p>
      <w:pPr>
        <w:ind w:left="800" w:hanging="261"/>
        <w:spacing w:after="0"/>
        <w:tabs>
          <w:tab w:leader="none" w:pos="80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determine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determined</w:t>
      </w:r>
      <w:r>
        <w:rPr>
          <w:rFonts w:ascii="Times New Roman" w:cs="Times New Roman" w:eastAsia="Times New Roman" w:hAnsi="Times New Roman"/>
          <w:sz w:val="18"/>
          <w:szCs w:val="18"/>
          <w:color w:val="auto"/>
        </w:rPr>
        <w:t>” means as determined by the Board or the Committee (or its designee) in its sole discretion.</w:t>
      </w:r>
    </w:p>
    <w:p>
      <w:pPr>
        <w:spacing w:after="0" w:line="198" w:lineRule="exact"/>
        <w:rPr>
          <w:rFonts w:ascii="Times New Roman" w:cs="Times New Roman" w:eastAsia="Times New Roman" w:hAnsi="Times New Roman"/>
          <w:sz w:val="18"/>
          <w:szCs w:val="18"/>
          <w:b w:val="1"/>
          <w:bCs w:val="1"/>
          <w:color w:val="auto"/>
        </w:rPr>
      </w:pPr>
    </w:p>
    <w:p>
      <w:pPr>
        <w:ind w:left="800" w:hanging="261"/>
        <w:spacing w:after="0"/>
        <w:tabs>
          <w:tab w:leader="none" w:pos="80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 of Directors of the Company.</w:t>
      </w:r>
    </w:p>
    <w:p>
      <w:pPr>
        <w:spacing w:after="0" w:line="184" w:lineRule="exact"/>
        <w:rPr>
          <w:rFonts w:ascii="Times New Roman" w:cs="Times New Roman" w:eastAsia="Times New Roman" w:hAnsi="Times New Roman"/>
          <w:sz w:val="18"/>
          <w:szCs w:val="18"/>
          <w:b w:val="1"/>
          <w:bCs w:val="1"/>
          <w:color w:val="auto"/>
        </w:rPr>
      </w:pPr>
    </w:p>
    <w:p>
      <w:pPr>
        <w:ind w:left="-20" w:right="540" w:firstLine="559"/>
        <w:spacing w:after="0" w:line="225" w:lineRule="auto"/>
        <w:tabs>
          <w:tab w:leader="none" w:pos="825"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55" w:lineRule="exact"/>
        <w:rPr>
          <w:rFonts w:ascii="Times New Roman" w:cs="Times New Roman" w:eastAsia="Times New Roman" w:hAnsi="Times New Roman"/>
          <w:sz w:val="18"/>
          <w:szCs w:val="18"/>
          <w:b w:val="1"/>
          <w:bCs w:val="1"/>
          <w:color w:val="auto"/>
        </w:rPr>
      </w:pPr>
    </w:p>
    <w:p>
      <w:pPr>
        <w:ind w:left="800" w:hanging="261"/>
        <w:spacing w:after="0"/>
        <w:tabs>
          <w:tab w:leader="none" w:pos="800" w:val="left"/>
        </w:tabs>
        <w:numPr>
          <w:ilvl w:val="0"/>
          <w:numId w:val="1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Effective Date</w:t>
      </w:r>
      <w:r>
        <w:rPr>
          <w:rFonts w:ascii="Times New Roman" w:cs="Times New Roman" w:eastAsia="Times New Roman" w:hAnsi="Times New Roman"/>
          <w:sz w:val="17"/>
          <w:szCs w:val="17"/>
          <w:color w:val="auto"/>
        </w:rPr>
        <w:t>” means the date of the Annual Meeting in 2020, provided this Plan is approved by the Company’s stockholders at such meeting.</w:t>
      </w:r>
    </w:p>
    <w:p>
      <w:pPr>
        <w:spacing w:after="0" w:line="209" w:lineRule="exact"/>
        <w:rPr>
          <w:rFonts w:ascii="Times New Roman" w:cs="Times New Roman" w:eastAsia="Times New Roman" w:hAnsi="Times New Roman"/>
          <w:sz w:val="17"/>
          <w:szCs w:val="17"/>
          <w:b w:val="1"/>
          <w:bCs w:val="1"/>
          <w:color w:val="auto"/>
        </w:rPr>
      </w:pPr>
    </w:p>
    <w:p>
      <w:pPr>
        <w:ind w:left="-20" w:right="240" w:firstLine="559"/>
        <w:spacing w:after="0" w:line="239" w:lineRule="auto"/>
        <w:tabs>
          <w:tab w:leader="none" w:pos="785"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54" w:lineRule="exact"/>
        <w:rPr>
          <w:rFonts w:ascii="Times New Roman" w:cs="Times New Roman" w:eastAsia="Times New Roman" w:hAnsi="Times New Roman"/>
          <w:sz w:val="18"/>
          <w:szCs w:val="18"/>
          <w:b w:val="1"/>
          <w:bCs w:val="1"/>
          <w:color w:val="auto"/>
        </w:rPr>
      </w:pPr>
    </w:p>
    <w:p>
      <w:pPr>
        <w:ind w:left="780" w:hanging="241"/>
        <w:spacing w:after="0"/>
        <w:tabs>
          <w:tab w:leader="none" w:pos="78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means the Company or the Affiliate of the Company that employs the Participant.</w:t>
      </w:r>
    </w:p>
    <w:p>
      <w:pPr>
        <w:spacing w:after="0" w:line="198" w:lineRule="exact"/>
        <w:rPr>
          <w:sz w:val="20"/>
          <w:szCs w:val="20"/>
          <w:color w:val="auto"/>
        </w:rPr>
      </w:pPr>
    </w:p>
    <w:p>
      <w:pPr>
        <w:ind w:left="880" w:hanging="341"/>
        <w:spacing w:after="0"/>
        <w:tabs>
          <w:tab w:leader="none" w:pos="88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184" w:lineRule="exact"/>
        <w:rPr>
          <w:rFonts w:ascii="Times New Roman" w:cs="Times New Roman" w:eastAsia="Times New Roman" w:hAnsi="Times New Roman"/>
          <w:sz w:val="18"/>
          <w:szCs w:val="18"/>
          <w:b w:val="1"/>
          <w:bCs w:val="1"/>
          <w:color w:val="auto"/>
        </w:rPr>
      </w:pPr>
    </w:p>
    <w:p>
      <w:pPr>
        <w:ind w:left="900" w:hanging="361"/>
        <w:spacing w:after="0"/>
        <w:tabs>
          <w:tab w:leader="none" w:pos="90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84" w:lineRule="exact"/>
        <w:rPr>
          <w:rFonts w:ascii="Times New Roman" w:cs="Times New Roman" w:eastAsia="Times New Roman" w:hAnsi="Times New Roman"/>
          <w:sz w:val="18"/>
          <w:szCs w:val="18"/>
          <w:b w:val="1"/>
          <w:bCs w:val="1"/>
          <w:color w:val="auto"/>
        </w:rPr>
      </w:pPr>
    </w:p>
    <w:p>
      <w:pPr>
        <w:ind w:left="-20" w:firstLine="559"/>
        <w:spacing w:after="0" w:line="218" w:lineRule="auto"/>
        <w:tabs>
          <w:tab w:leader="none" w:pos="855"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 except that “Exchange Act Person” will not include (i) the Company or any Subsidiary, (ii) any employee benefit plan of the Company or any Subsidiary or any trustee or other fiduciary holding securities under an employee benefit plan of the Company or any Subsidiary,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55" w:lineRule="exact"/>
        <w:rPr>
          <w:rFonts w:ascii="Times New Roman" w:cs="Times New Roman" w:eastAsia="Times New Roman" w:hAnsi="Times New Roman"/>
          <w:sz w:val="18"/>
          <w:szCs w:val="18"/>
          <w:b w:val="1"/>
          <w:bCs w:val="1"/>
          <w:color w:val="auto"/>
        </w:rPr>
      </w:pPr>
    </w:p>
    <w:p>
      <w:pPr>
        <w:ind w:left="-20" w:right="220" w:firstLine="559"/>
        <w:spacing w:after="0" w:line="255" w:lineRule="auto"/>
        <w:tabs>
          <w:tab w:leader="none" w:pos="896"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unless otherwise determined by the Board, the value of the Common Stock (as determined on a per share or aggregate basis, as applicable) determined as follows:</w:t>
      </w:r>
    </w:p>
    <w:p>
      <w:pPr>
        <w:spacing w:after="0" w:line="144" w:lineRule="exact"/>
        <w:rPr>
          <w:rFonts w:ascii="Times New Roman" w:cs="Times New Roman" w:eastAsia="Times New Roman" w:hAnsi="Times New Roman"/>
          <w:sz w:val="18"/>
          <w:szCs w:val="18"/>
          <w:b w:val="1"/>
          <w:bCs w:val="1"/>
          <w:color w:val="auto"/>
        </w:rPr>
      </w:pPr>
    </w:p>
    <w:p>
      <w:pPr>
        <w:ind w:left="-20" w:right="140" w:firstLine="1110"/>
        <w:spacing w:after="0" w:line="231" w:lineRule="auto"/>
        <w:tabs>
          <w:tab w:leader="none" w:pos="1296" w:val="left"/>
        </w:tabs>
        <w:numPr>
          <w:ilvl w:val="1"/>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158" w:lineRule="exact"/>
        <w:rPr>
          <w:rFonts w:ascii="Times New Roman" w:cs="Times New Roman" w:eastAsia="Times New Roman" w:hAnsi="Times New Roman"/>
          <w:sz w:val="18"/>
          <w:szCs w:val="18"/>
          <w:b w:val="1"/>
          <w:bCs w:val="1"/>
          <w:color w:val="auto"/>
        </w:rPr>
      </w:pPr>
    </w:p>
    <w:p>
      <w:pPr>
        <w:ind w:left="-20" w:right="20" w:firstLine="1110"/>
        <w:spacing w:after="0" w:line="237" w:lineRule="auto"/>
        <w:tabs>
          <w:tab w:leader="none" w:pos="1346" w:val="left"/>
        </w:tabs>
        <w:numPr>
          <w:ilvl w:val="1"/>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there is no closing sales price for the Common Stock on the date of determination, then the Fair Market Value will be the closing sales price on the last preceding date for which such quotation exists.</w:t>
      </w:r>
    </w:p>
    <w:p>
      <w:pPr>
        <w:spacing w:after="0" w:line="171" w:lineRule="exact"/>
        <w:rPr>
          <w:rFonts w:ascii="Times New Roman" w:cs="Times New Roman" w:eastAsia="Times New Roman" w:hAnsi="Times New Roman"/>
          <w:sz w:val="18"/>
          <w:szCs w:val="18"/>
          <w:b w:val="1"/>
          <w:bCs w:val="1"/>
          <w:color w:val="auto"/>
        </w:rPr>
      </w:pPr>
    </w:p>
    <w:p>
      <w:pPr>
        <w:ind w:left="-20" w:right="80" w:firstLine="1110"/>
        <w:spacing w:after="0" w:line="237" w:lineRule="auto"/>
        <w:tabs>
          <w:tab w:leader="none" w:pos="1396" w:val="left"/>
        </w:tabs>
        <w:numPr>
          <w:ilvl w:val="1"/>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exchange or market for the Common Stock, or if otherwise determined by the Board, the Fair Market Value will be determined by the Board in good faith and in a manner that complies with Sections 409A and 422 of the Code.</w:t>
      </w:r>
    </w:p>
    <w:p>
      <w:pPr>
        <w:spacing w:after="0" w:line="154" w:lineRule="exact"/>
        <w:rPr>
          <w:rFonts w:ascii="Times New Roman" w:cs="Times New Roman" w:eastAsia="Times New Roman" w:hAnsi="Times New Roman"/>
          <w:sz w:val="18"/>
          <w:szCs w:val="18"/>
          <w:b w:val="1"/>
          <w:bCs w:val="1"/>
          <w:color w:val="auto"/>
        </w:rPr>
      </w:pPr>
    </w:p>
    <w:p>
      <w:pPr>
        <w:ind w:left="860" w:hanging="321"/>
        <w:spacing w:after="0"/>
        <w:tabs>
          <w:tab w:leader="none" w:pos="86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Full Value Award</w:t>
      </w:r>
      <w:r>
        <w:rPr>
          <w:rFonts w:ascii="Times New Roman" w:cs="Times New Roman" w:eastAsia="Times New Roman" w:hAnsi="Times New Roman"/>
          <w:sz w:val="18"/>
          <w:szCs w:val="18"/>
          <w:color w:val="auto"/>
        </w:rPr>
        <w:t>” means (i) a stock award granted under the Prior Plan or (ii) an Award, in each case that is not an Appreciation Award.</w:t>
      </w:r>
    </w:p>
    <w:p>
      <w:pPr>
        <w:spacing w:after="0" w:line="198" w:lineRule="exact"/>
        <w:rPr>
          <w:rFonts w:ascii="Times New Roman" w:cs="Times New Roman" w:eastAsia="Times New Roman" w:hAnsi="Times New Roman"/>
          <w:sz w:val="18"/>
          <w:szCs w:val="18"/>
          <w:b w:val="1"/>
          <w:bCs w:val="1"/>
          <w:color w:val="auto"/>
        </w:rPr>
      </w:pPr>
    </w:p>
    <w:p>
      <w:pPr>
        <w:ind w:left="-20" w:right="40" w:firstLine="559"/>
        <w:spacing w:after="0" w:line="218" w:lineRule="auto"/>
        <w:tabs>
          <w:tab w:leader="none" w:pos="815"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(i) nation, state, commonwealth, province, territory, county, municipality, district or other jurisdiction of any nature; (ii) federal, state, local, municipal, foreign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w:t>
      </w:r>
    </w:p>
    <w:p>
      <w:pPr>
        <w:spacing w:after="0" w:line="167" w:lineRule="exact"/>
        <w:rPr>
          <w:rFonts w:ascii="Times New Roman" w:cs="Times New Roman" w:eastAsia="Times New Roman" w:hAnsi="Times New Roman"/>
          <w:sz w:val="18"/>
          <w:szCs w:val="18"/>
          <w:b w:val="1"/>
          <w:bCs w:val="1"/>
          <w:color w:val="auto"/>
        </w:rPr>
      </w:pPr>
    </w:p>
    <w:p>
      <w:pPr>
        <w:ind w:left="-20" w:right="60" w:firstLine="559"/>
        <w:spacing w:after="0" w:line="227" w:lineRule="auto"/>
        <w:tabs>
          <w:tab w:leader="none" w:pos="875"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means the notice provided to a Participant that he or she has been granted an Award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168" w:lineRule="exact"/>
        <w:rPr>
          <w:rFonts w:ascii="Times New Roman" w:cs="Times New Roman" w:eastAsia="Times New Roman" w:hAnsi="Times New Roman"/>
          <w:sz w:val="18"/>
          <w:szCs w:val="18"/>
          <w:b w:val="1"/>
          <w:bCs w:val="1"/>
          <w:color w:val="auto"/>
        </w:rPr>
      </w:pPr>
    </w:p>
    <w:p>
      <w:pPr>
        <w:ind w:left="-20" w:right="260" w:firstLine="559"/>
        <w:spacing w:after="0" w:line="239" w:lineRule="auto"/>
        <w:tabs>
          <w:tab w:leader="none" w:pos="896"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Section 4 that is intended to be, and qualifies as, an “incentive stock option” within the meaning of Section 422 of the Code.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55880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11" w:right="359" w:bottom="1440" w:gutter="0" w:footer="0" w:header="0"/>
        </w:sectPr>
      </w:pPr>
    </w:p>
    <w:bookmarkStart w:id="93" w:name="page94"/>
    <w:bookmarkEnd w:id="93"/>
    <w:p>
      <w:pPr>
        <w:ind w:firstLine="559"/>
        <w:spacing w:after="0" w:line="229" w:lineRule="auto"/>
        <w:tabs>
          <w:tab w:leader="none" w:pos="816" w:val="left"/>
        </w:tabs>
        <w:numPr>
          <w:ilvl w:val="0"/>
          <w:numId w:val="1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Materially Impair</w:t>
      </w:r>
      <w:r>
        <w:rPr>
          <w:rFonts w:ascii="Times New Roman" w:cs="Times New Roman" w:eastAsia="Times New Roman" w:hAnsi="Times New Roman"/>
          <w:sz w:val="17"/>
          <w:szCs w:val="17"/>
          <w:color w:val="auto"/>
        </w:rPr>
        <w:t>” means that a Participant’s rights under an Award will be materially adversely affected by a suspension or termination of the Plan, an amendment of the Plan, or an amendment to the terms of the Award, as applicable. For purposes of the Plan, a Participant’s rights under an Award will not be deemed to have been Materially Impaired by any of the foregoing actions if the Board, in its sole discretion, determines that such action, taken as a whole, does not materially impair the Participant’s rights under the Award. For example, an amendment to the terms of an Award in order to do any of the following, or that results in any of the following, will not be deemed to Materially Impair the Participant’s rights under the Award: (i) an imposition of reasonable restrictions on the minimum number of shares subject to an Option that may be exercised; (ii) to maintain the qualified status of the Award as an Incentive Stock Option under Section 422 of the Code; (iii) a change in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57" w:lineRule="exact"/>
        <w:rPr>
          <w:rFonts w:ascii="Times New Roman" w:cs="Times New Roman" w:eastAsia="Times New Roman" w:hAnsi="Times New Roman"/>
          <w:sz w:val="17"/>
          <w:szCs w:val="17"/>
          <w:b w:val="1"/>
          <w:bCs w:val="1"/>
          <w:color w:val="auto"/>
        </w:rPr>
      </w:pPr>
    </w:p>
    <w:p>
      <w:pPr>
        <w:ind w:firstLine="559"/>
        <w:spacing w:after="0" w:line="220" w:lineRule="auto"/>
        <w:tabs>
          <w:tab w:leader="none" w:pos="835"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8"/>
          <w:szCs w:val="18"/>
          <w:b w:val="1"/>
          <w:bCs w:val="1"/>
          <w:i w:val="1"/>
          <w:iCs w:val="1"/>
          <w:color w:val="auto"/>
        </w:rPr>
        <w:t>Regulation S-K</w:t>
      </w:r>
      <w:r>
        <w:rPr>
          <w:rFonts w:ascii="Times New Roman" w:cs="Times New Roman" w:eastAsia="Times New Roman" w:hAnsi="Times New Roman"/>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57" w:lineRule="exact"/>
        <w:rPr>
          <w:rFonts w:ascii="Times New Roman" w:cs="Times New Roman" w:eastAsia="Times New Roman" w:hAnsi="Times New Roman"/>
          <w:sz w:val="18"/>
          <w:szCs w:val="18"/>
          <w:b w:val="1"/>
          <w:bCs w:val="1"/>
          <w:color w:val="auto"/>
        </w:rPr>
      </w:pPr>
    </w:p>
    <w:p>
      <w:pPr>
        <w:ind w:right="60" w:firstLine="559"/>
        <w:spacing w:after="0" w:line="232" w:lineRule="auto"/>
        <w:tabs>
          <w:tab w:leader="none" w:pos="916"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Award</w:t>
      </w:r>
      <w:r>
        <w:rPr>
          <w:rFonts w:ascii="Times New Roman" w:cs="Times New Roman" w:eastAsia="Times New Roman" w:hAnsi="Times New Roman"/>
          <w:sz w:val="18"/>
          <w:szCs w:val="18"/>
          <w:color w:val="auto"/>
        </w:rPr>
        <w:t>” means any Award that is subject to, and not exempt from, Section 409A, including as the result of (i) a deferral of the issuance of the shares subject to the Award which is elected by the Participant or imposed by the Company, or (ii) the terms of any Non-Exempt Severance Agreement.</w:t>
      </w:r>
    </w:p>
    <w:p>
      <w:pPr>
        <w:spacing w:after="0" w:line="155" w:lineRule="exact"/>
        <w:rPr>
          <w:rFonts w:ascii="Times New Roman" w:cs="Times New Roman" w:eastAsia="Times New Roman" w:hAnsi="Times New Roman"/>
          <w:sz w:val="18"/>
          <w:szCs w:val="18"/>
          <w:b w:val="1"/>
          <w:bCs w:val="1"/>
          <w:color w:val="auto"/>
        </w:rPr>
      </w:pPr>
    </w:p>
    <w:p>
      <w:pPr>
        <w:ind w:left="820" w:hanging="261"/>
        <w:spacing w:after="0"/>
        <w:tabs>
          <w:tab w:leader="none" w:pos="820" w:val="left"/>
        </w:tabs>
        <w:numPr>
          <w:ilvl w:val="0"/>
          <w:numId w:val="1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Non-Exempt Director Award</w:t>
      </w:r>
      <w:r>
        <w:rPr>
          <w:rFonts w:ascii="Times New Roman" w:cs="Times New Roman" w:eastAsia="Times New Roman" w:hAnsi="Times New Roman"/>
          <w:sz w:val="17"/>
          <w:szCs w:val="17"/>
          <w:color w:val="auto"/>
        </w:rPr>
        <w:t>” means a Non-Exempt Award granted to a Participant who was a Director but not an Employee on the applicable</w:t>
      </w:r>
    </w:p>
    <w:p>
      <w:pPr>
        <w:spacing w:after="0" w:line="4"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grant date.</w:t>
      </w:r>
    </w:p>
    <w:p>
      <w:pPr>
        <w:spacing w:after="0" w:line="174" w:lineRule="exact"/>
        <w:rPr>
          <w:rFonts w:ascii="Times New Roman" w:cs="Times New Roman" w:eastAsia="Times New Roman" w:hAnsi="Times New Roman"/>
          <w:sz w:val="17"/>
          <w:szCs w:val="17"/>
          <w:b w:val="1"/>
          <w:bCs w:val="1"/>
          <w:color w:val="auto"/>
        </w:rPr>
      </w:pPr>
    </w:p>
    <w:p>
      <w:pPr>
        <w:ind w:right="60" w:firstLine="559"/>
        <w:spacing w:after="0" w:line="221" w:lineRule="auto"/>
        <w:tabs>
          <w:tab w:leader="none" w:pos="1015"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Severance Arrangement</w:t>
      </w:r>
      <w:r>
        <w:rPr>
          <w:rFonts w:ascii="Times New Roman" w:cs="Times New Roman" w:eastAsia="Times New Roman" w:hAnsi="Times New Roman"/>
          <w:sz w:val="18"/>
          <w:szCs w:val="18"/>
          <w:color w:val="auto"/>
        </w:rPr>
        <w:t>” means a severance arrangement or other agreement between the Participant and the Company or an Affiliate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and such severance benefit does not satisfy the requirements for an exemption from application of Section 409A provided under Treasury Regulations Section 1.409A-1(b)(4), 1.409A-1(b)(9) or otherwise.</w:t>
      </w:r>
    </w:p>
    <w:p>
      <w:pPr>
        <w:spacing w:after="0" w:line="154" w:lineRule="exact"/>
        <w:rPr>
          <w:rFonts w:ascii="Times New Roman" w:cs="Times New Roman" w:eastAsia="Times New Roman" w:hAnsi="Times New Roman"/>
          <w:sz w:val="18"/>
          <w:szCs w:val="18"/>
          <w:b w:val="1"/>
          <w:bCs w:val="1"/>
          <w:color w:val="auto"/>
        </w:rPr>
      </w:pPr>
    </w:p>
    <w:p>
      <w:pPr>
        <w:ind w:left="920" w:hanging="361"/>
        <w:spacing w:after="0"/>
        <w:tabs>
          <w:tab w:leader="none" w:pos="92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Section 4 that does not qualify as an Incentive Stock Option.</w:t>
      </w:r>
    </w:p>
    <w:p>
      <w:pPr>
        <w:spacing w:after="0" w:line="198" w:lineRule="exact"/>
        <w:rPr>
          <w:rFonts w:ascii="Times New Roman" w:cs="Times New Roman" w:eastAsia="Times New Roman" w:hAnsi="Times New Roman"/>
          <w:sz w:val="18"/>
          <w:szCs w:val="18"/>
          <w:b w:val="1"/>
          <w:bCs w:val="1"/>
          <w:color w:val="auto"/>
        </w:rPr>
      </w:pPr>
    </w:p>
    <w:p>
      <w:pPr>
        <w:ind w:left="900" w:hanging="341"/>
        <w:spacing w:after="0"/>
        <w:tabs>
          <w:tab w:leader="none" w:pos="90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184" w:lineRule="exact"/>
        <w:rPr>
          <w:rFonts w:ascii="Times New Roman" w:cs="Times New Roman" w:eastAsia="Times New Roman" w:hAnsi="Times New Roman"/>
          <w:sz w:val="18"/>
          <w:szCs w:val="18"/>
          <w:b w:val="1"/>
          <w:bCs w:val="1"/>
          <w:color w:val="auto"/>
        </w:rPr>
      </w:pPr>
    </w:p>
    <w:p>
      <w:pPr>
        <w:ind w:right="80" w:firstLine="559"/>
        <w:spacing w:after="0" w:line="239" w:lineRule="auto"/>
        <w:tabs>
          <w:tab w:leader="none" w:pos="916"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Incentive Stock Option or a Nonstatutory Stock Option to purchase shares of Common Stock which is granted pursuant to the terms and conditions of Section 4.</w:t>
      </w:r>
    </w:p>
    <w:p>
      <w:pPr>
        <w:spacing w:after="0" w:line="168" w:lineRule="exact"/>
        <w:rPr>
          <w:rFonts w:ascii="Times New Roman" w:cs="Times New Roman" w:eastAsia="Times New Roman" w:hAnsi="Times New Roman"/>
          <w:sz w:val="18"/>
          <w:szCs w:val="18"/>
          <w:b w:val="1"/>
          <w:bCs w:val="1"/>
          <w:color w:val="auto"/>
        </w:rPr>
      </w:pPr>
    </w:p>
    <w:p>
      <w:pPr>
        <w:ind w:right="20" w:firstLine="559"/>
        <w:spacing w:after="0" w:line="225" w:lineRule="auto"/>
        <w:tabs>
          <w:tab w:leader="none" w:pos="916"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agreement between the Company and a Participant evidencing the terms and conditions of an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w:t>
      </w:r>
    </w:p>
    <w:p>
      <w:pPr>
        <w:spacing w:after="0" w:line="155" w:lineRule="exact"/>
        <w:rPr>
          <w:rFonts w:ascii="Times New Roman" w:cs="Times New Roman" w:eastAsia="Times New Roman" w:hAnsi="Times New Roman"/>
          <w:sz w:val="18"/>
          <w:szCs w:val="18"/>
          <w:b w:val="1"/>
          <w:bCs w:val="1"/>
          <w:color w:val="auto"/>
        </w:rPr>
      </w:pPr>
    </w:p>
    <w:p>
      <w:pPr>
        <w:ind w:right="540" w:firstLine="559"/>
        <w:spacing w:after="0" w:line="239" w:lineRule="auto"/>
        <w:tabs>
          <w:tab w:leader="none" w:pos="875"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w:t>
      </w:r>
      <w:r>
        <w:rPr>
          <w:rFonts w:ascii="Times New Roman" w:cs="Times New Roman" w:eastAsia="Times New Roman" w:hAnsi="Times New Roman"/>
          <w:sz w:val="18"/>
          <w:szCs w:val="18"/>
          <w:color w:val="auto"/>
        </w:rPr>
        <w:t>” means an award based in whole or in part by reference to the Common Stock which is granted pursuant to the terms and conditions of Section 5(c).</w:t>
      </w:r>
    </w:p>
    <w:p>
      <w:pPr>
        <w:spacing w:after="0" w:line="168" w:lineRule="exact"/>
        <w:rPr>
          <w:rFonts w:ascii="Times New Roman" w:cs="Times New Roman" w:eastAsia="Times New Roman" w:hAnsi="Times New Roman"/>
          <w:sz w:val="18"/>
          <w:szCs w:val="18"/>
          <w:b w:val="1"/>
          <w:bCs w:val="1"/>
          <w:color w:val="auto"/>
        </w:rPr>
      </w:pPr>
    </w:p>
    <w:p>
      <w:pPr>
        <w:ind w:firstLine="559"/>
        <w:spacing w:after="0" w:line="239" w:lineRule="auto"/>
        <w:tabs>
          <w:tab w:leader="none" w:pos="856"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 Agreement</w:t>
      </w:r>
      <w:r>
        <w:rPr>
          <w:rFonts w:ascii="Times New Roman" w:cs="Times New Roman" w:eastAsia="Times New Roman" w:hAnsi="Times New Roman"/>
          <w:sz w:val="18"/>
          <w:szCs w:val="18"/>
          <w:color w:val="auto"/>
        </w:rPr>
        <w:t>” means a written agreement between the Company and a Participant evidencing the terms and conditions of an Other Award grant. Each Other Award Agreement will be subject to the terms and conditions of the Plan.</w:t>
      </w:r>
    </w:p>
    <w:p>
      <w:pPr>
        <w:spacing w:after="0" w:line="154" w:lineRule="exact"/>
        <w:rPr>
          <w:rFonts w:ascii="Times New Roman" w:cs="Times New Roman" w:eastAsia="Times New Roman" w:hAnsi="Times New Roman"/>
          <w:sz w:val="18"/>
          <w:szCs w:val="18"/>
          <w:b w:val="1"/>
          <w:bCs w:val="1"/>
          <w:color w:val="auto"/>
        </w:rPr>
      </w:pPr>
    </w:p>
    <w:p>
      <w:pPr>
        <w:ind w:right="20" w:firstLine="559"/>
        <w:spacing w:after="0" w:line="232" w:lineRule="auto"/>
        <w:tabs>
          <w:tab w:leader="none" w:pos="835"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Ownership</w:t>
      </w:r>
      <w:r>
        <w:rPr>
          <w:rFonts w:ascii="Times New Roman" w:cs="Times New Roman" w:eastAsia="Times New Roman" w:hAnsi="Times New Roman"/>
          <w:sz w:val="18"/>
          <w:szCs w:val="18"/>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55" w:lineRule="exact"/>
        <w:rPr>
          <w:rFonts w:ascii="Times New Roman" w:cs="Times New Roman" w:eastAsia="Times New Roman" w:hAnsi="Times New Roman"/>
          <w:sz w:val="18"/>
          <w:szCs w:val="18"/>
          <w:b w:val="1"/>
          <w:bCs w:val="1"/>
          <w:color w:val="auto"/>
        </w:rPr>
      </w:pPr>
    </w:p>
    <w:p>
      <w:pPr>
        <w:ind w:right="460" w:firstLine="559"/>
        <w:spacing w:after="0" w:line="255" w:lineRule="auto"/>
        <w:tabs>
          <w:tab w:leader="none" w:pos="916"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Employee, Director or Consultant to whom an Award is granted pursuant to the Plan or, if applicable, such other person who holds an outstanding Award.</w:t>
      </w:r>
    </w:p>
    <w:p>
      <w:pPr>
        <w:spacing w:after="0" w:line="140" w:lineRule="exact"/>
        <w:rPr>
          <w:rFonts w:ascii="Times New Roman" w:cs="Times New Roman" w:eastAsia="Times New Roman" w:hAnsi="Times New Roman"/>
          <w:sz w:val="18"/>
          <w:szCs w:val="18"/>
          <w:b w:val="1"/>
          <w:bCs w:val="1"/>
          <w:color w:val="auto"/>
        </w:rPr>
      </w:pPr>
    </w:p>
    <w:p>
      <w:pPr>
        <w:ind w:right="180" w:firstLine="559"/>
        <w:spacing w:after="0" w:line="232" w:lineRule="auto"/>
        <w:tabs>
          <w:tab w:leader="none" w:pos="895"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Award</w:t>
      </w:r>
      <w:r>
        <w:rPr>
          <w:rFonts w:ascii="Times New Roman" w:cs="Times New Roman" w:eastAsia="Times New Roman" w:hAnsi="Times New Roman"/>
          <w:sz w:val="18"/>
          <w:szCs w:val="18"/>
          <w:color w:val="auto"/>
        </w:rPr>
        <w:t>” means an Award that may vest or may be exercised, or that may become earned and paid, contingent upon the attainment during a Performance Period of certain Performance Goals and which is granted pursuant to the terms and conditions of Section 5(b) and such terms as approved by the Board.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1" w:right="359" w:bottom="1440" w:gutter="0" w:footer="0" w:header="0"/>
        </w:sectPr>
      </w:pPr>
    </w:p>
    <w:bookmarkStart w:id="94" w:name="page95"/>
    <w:bookmarkEnd w:id="94"/>
    <w:p>
      <w:pPr>
        <w:ind w:left="-8" w:right="180" w:firstLine="559"/>
        <w:spacing w:after="0" w:line="215" w:lineRule="auto"/>
        <w:tabs>
          <w:tab w:leader="none" w:pos="967"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the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(1) earnings (including earnings per share and net earnings, in either case before or after any or all of: interest, taxes, depreciation and amortization, legal settlements or other income (expense), or stock-based compensation, other non-cash expenses and changes in deferred revenue); (2) total stockholder return; (3) return on equity or average stockholder’s equity; (4) return on assets, investment, or capital employed;</w:t>
      </w:r>
    </w:p>
    <w:p>
      <w:pPr>
        <w:spacing w:after="0" w:line="1" w:lineRule="exact"/>
        <w:rPr>
          <w:rFonts w:ascii="Times New Roman" w:cs="Times New Roman" w:eastAsia="Times New Roman" w:hAnsi="Times New Roman"/>
          <w:sz w:val="18"/>
          <w:szCs w:val="18"/>
          <w:b w:val="1"/>
          <w:bCs w:val="1"/>
          <w:color w:val="auto"/>
        </w:rPr>
      </w:pPr>
    </w:p>
    <w:p>
      <w:pPr>
        <w:jc w:val="both"/>
        <w:ind w:left="-8" w:firstLine="8"/>
        <w:spacing w:after="0" w:line="220" w:lineRule="auto"/>
        <w:tabs>
          <w:tab w:leader="none" w:pos="247"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price; (6) margin (including gross margin); (7) income (before or after taxes); (8) operating income; (9) operating income after taxes; (10) pre-tax profit; (11) operating cash flow; (12) sales, prescriptions, or revenue targets; (13) increases in revenue or product revenue; (14) expenses and cost reduction goals; (15) improvement in or attainment of working capital levels; (16) economic value added (or an equivalent metric); (17) market share; (18) cash flow;</w:t>
      </w:r>
    </w:p>
    <w:p>
      <w:pPr>
        <w:spacing w:after="0" w:line="2" w:lineRule="exact"/>
        <w:rPr>
          <w:rFonts w:ascii="Times New Roman" w:cs="Times New Roman" w:eastAsia="Times New Roman" w:hAnsi="Times New Roman"/>
          <w:sz w:val="17"/>
          <w:szCs w:val="17"/>
          <w:color w:val="auto"/>
        </w:rPr>
      </w:pPr>
    </w:p>
    <w:p>
      <w:pPr>
        <w:ind w:left="-8" w:right="340" w:firstLine="8"/>
        <w:spacing w:after="0" w:line="219" w:lineRule="auto"/>
        <w:tabs>
          <w:tab w:leader="none" w:pos="337"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flow per share; (20) cash burn; (21) share price performance; (22) debt reduction; (23) implementation or completion of projects or processes (including, without limitation, discovery of a pre-clinical drug candidate, recommendation of a drug candidate to enter a clinical trial, clinical trial initiation, clinical trial enrollment and dates, clinical trial results, regulatory filing submissions, regulatory filing acceptances, regulatory or advisory committee interactions, regulatory approvals, presentation of studies and launch of commercial plans, compliance programs or education campaigns);</w:t>
      </w:r>
    </w:p>
    <w:p>
      <w:pPr>
        <w:spacing w:after="0" w:line="1" w:lineRule="exact"/>
        <w:rPr>
          <w:rFonts w:ascii="Times New Roman" w:cs="Times New Roman" w:eastAsia="Times New Roman" w:hAnsi="Times New Roman"/>
          <w:sz w:val="17"/>
          <w:szCs w:val="17"/>
          <w:color w:val="auto"/>
        </w:rPr>
      </w:pPr>
    </w:p>
    <w:p>
      <w:pPr>
        <w:ind w:left="-8" w:right="400" w:firstLine="8"/>
        <w:spacing w:after="0" w:line="211" w:lineRule="auto"/>
        <w:tabs>
          <w:tab w:leader="none" w:pos="33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satisfaction; (25) stockholders’ equity; (26) capital expenditures; (27) debt levels; (28) financings; (29) operating profit or net operating profit; (30) workforce diversity; (31) growth of net income or operating income; (32) billings; (33) employee hiring; (34) funds from operations;</w:t>
      </w:r>
    </w:p>
    <w:p>
      <w:pPr>
        <w:ind w:left="-8" w:right="220" w:firstLine="8"/>
        <w:spacing w:after="0" w:line="203" w:lineRule="auto"/>
        <w:tabs>
          <w:tab w:leader="none" w:pos="33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 management; (36) strategic partnerships or transactions (including acquisitions, joint ventures or licensing transactions); (37) engagement of thought leaders and patient advocacy groups; (38) enhancement of intellectual property portfolio, filing of patent applications and granting of patents;</w:t>
      </w:r>
    </w:p>
    <w:p>
      <w:pPr>
        <w:ind w:left="352" w:hanging="352"/>
        <w:spacing w:after="0"/>
        <w:tabs>
          <w:tab w:leader="none" w:pos="35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preparation and management; and (40) any other measure of performance selected by the Board.</w:t>
      </w:r>
    </w:p>
    <w:p>
      <w:pPr>
        <w:spacing w:after="0" w:line="174" w:lineRule="exact"/>
        <w:rPr>
          <w:rFonts w:ascii="Times New Roman" w:cs="Times New Roman" w:eastAsia="Times New Roman" w:hAnsi="Times New Roman"/>
          <w:sz w:val="18"/>
          <w:szCs w:val="18"/>
          <w:color w:val="auto"/>
        </w:rPr>
      </w:pPr>
    </w:p>
    <w:p>
      <w:pPr>
        <w:ind w:left="-8" w:right="100" w:firstLine="559"/>
        <w:spacing w:after="0" w:line="211" w:lineRule="auto"/>
        <w:tabs>
          <w:tab w:leader="none" w:pos="887" w:val="left"/>
        </w:tabs>
        <w:numPr>
          <w:ilvl w:val="1"/>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the Performance Goals for a Performance Period as follows: (1) to exclude restructuring and/or other nonrecurring charges; (2) to exclude exchange rate effects, as applicable, for non-U.S. dollar denominated Performance Goals;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(11) to exclude the goodwill and intangible asset impairment charges that are required to be recorded under generally accepted accounting principles; and (12) to exclude the effects of the timing of acceptance for review and/or approval of submissions to the U.S. Food and Drug Administration or any other regulatory body. In addition, the Board retains the discretion to define the manner of calculating the Performance Criteria it selects to use for a Performance Period and to reduce or eliminate the compensation or economic benefit due upon the attainment of any Performance Goal. Partial attainment of any Performance Goal may result in payment or vesting corresponding to the degree of attainment as specified in the applicable Award Agreement or the written terms of a Performance Award.</w:t>
      </w:r>
    </w:p>
    <w:p>
      <w:pPr>
        <w:spacing w:after="0" w:line="174" w:lineRule="exact"/>
        <w:rPr>
          <w:rFonts w:ascii="Times New Roman" w:cs="Times New Roman" w:eastAsia="Times New Roman" w:hAnsi="Times New Roman"/>
          <w:sz w:val="18"/>
          <w:szCs w:val="18"/>
          <w:b w:val="1"/>
          <w:bCs w:val="1"/>
          <w:color w:val="auto"/>
        </w:rPr>
      </w:pPr>
    </w:p>
    <w:p>
      <w:pPr>
        <w:jc w:val="both"/>
        <w:ind w:left="-8" w:right="220" w:firstLine="559"/>
        <w:spacing w:after="0" w:line="227" w:lineRule="auto"/>
        <w:tabs>
          <w:tab w:leader="none" w:pos="887" w:val="left"/>
        </w:tabs>
        <w:numPr>
          <w:ilvl w:val="1"/>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Board over which the attainment of one or more Performance Goals will be measured for the purpose of determining a Participant’s right to vesting or exercise of, or any payment under, an Award. Performance Periods may be of varying and overlapping duration, at the sole discretion of the Board.</w:t>
      </w:r>
    </w:p>
    <w:p>
      <w:pPr>
        <w:spacing w:after="0" w:line="168" w:lineRule="exact"/>
        <w:rPr>
          <w:rFonts w:ascii="Times New Roman" w:cs="Times New Roman" w:eastAsia="Times New Roman" w:hAnsi="Times New Roman"/>
          <w:sz w:val="18"/>
          <w:szCs w:val="18"/>
          <w:b w:val="1"/>
          <w:bCs w:val="1"/>
          <w:color w:val="auto"/>
        </w:rPr>
      </w:pPr>
    </w:p>
    <w:p>
      <w:pPr>
        <w:ind w:left="872" w:hanging="321"/>
        <w:spacing w:after="0"/>
        <w:tabs>
          <w:tab w:leader="none" w:pos="872" w:val="left"/>
        </w:tabs>
        <w:numPr>
          <w:ilvl w:val="1"/>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Neurocrine Biosciences, Inc. 2020 Equity Incentive Plan.</w:t>
      </w:r>
    </w:p>
    <w:p>
      <w:pPr>
        <w:spacing w:after="0" w:line="185" w:lineRule="exact"/>
        <w:rPr>
          <w:sz w:val="20"/>
          <w:szCs w:val="20"/>
          <w:color w:val="auto"/>
        </w:rPr>
      </w:pPr>
    </w:p>
    <w:p>
      <w:pPr>
        <w:ind w:left="-8" w:right="240" w:firstLine="559"/>
        <w:spacing w:after="0" w:line="239" w:lineRule="auto"/>
        <w:tabs>
          <w:tab w:leader="none" w:pos="977"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w:t>
      </w:r>
      <w:r>
        <w:rPr>
          <w:rFonts w:ascii="Times New Roman" w:cs="Times New Roman" w:eastAsia="Times New Roman" w:hAnsi="Times New Roman"/>
          <w:sz w:val="18"/>
          <w:szCs w:val="18"/>
          <w:color w:val="auto"/>
        </w:rPr>
        <w:t>” means the person, persons, and/or third-party administrator designated by the Company to administer the day to day operations of the Plan and the Company’s other equity incentive programs.</w:t>
      </w:r>
    </w:p>
    <w:p>
      <w:pPr>
        <w:spacing w:after="0" w:line="168" w:lineRule="exact"/>
        <w:rPr>
          <w:rFonts w:ascii="Times New Roman" w:cs="Times New Roman" w:eastAsia="Times New Roman" w:hAnsi="Times New Roman"/>
          <w:sz w:val="18"/>
          <w:szCs w:val="18"/>
          <w:b w:val="1"/>
          <w:bCs w:val="1"/>
          <w:color w:val="auto"/>
        </w:rPr>
      </w:pPr>
    </w:p>
    <w:p>
      <w:pPr>
        <w:ind w:left="-8" w:right="160" w:firstLine="559"/>
        <w:spacing w:after="0" w:line="239" w:lineRule="auto"/>
        <w:tabs>
          <w:tab w:leader="none" w:pos="1008"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Post-Termination Exercise Period</w:t>
      </w:r>
      <w:r>
        <w:rPr>
          <w:rFonts w:ascii="Times New Roman" w:cs="Times New Roman" w:eastAsia="Times New Roman" w:hAnsi="Times New Roman"/>
          <w:sz w:val="18"/>
          <w:szCs w:val="18"/>
          <w:color w:val="auto"/>
        </w:rPr>
        <w:t>” means the period following termination of a Participant’s Continuous Service within which an Option or SAR is exercisable, as specified in Section 4(h).</w:t>
      </w:r>
    </w:p>
    <w:p>
      <w:pPr>
        <w:spacing w:after="0" w:line="154" w:lineRule="exact"/>
        <w:rPr>
          <w:rFonts w:ascii="Times New Roman" w:cs="Times New Roman" w:eastAsia="Times New Roman" w:hAnsi="Times New Roman"/>
          <w:sz w:val="18"/>
          <w:szCs w:val="18"/>
          <w:b w:val="1"/>
          <w:bCs w:val="1"/>
          <w:color w:val="auto"/>
        </w:rPr>
      </w:pPr>
    </w:p>
    <w:p>
      <w:pPr>
        <w:ind w:left="952" w:hanging="401"/>
        <w:spacing w:after="0"/>
        <w:tabs>
          <w:tab w:leader="none" w:pos="952"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w:t>
      </w:r>
      <w:r>
        <w:rPr>
          <w:rFonts w:ascii="Times New Roman" w:cs="Times New Roman" w:eastAsia="Times New Roman" w:hAnsi="Times New Roman"/>
          <w:sz w:val="18"/>
          <w:szCs w:val="18"/>
          <w:color w:val="auto"/>
        </w:rPr>
        <w:t>” means the Neurocrine Biosciences, Inc. 2011 Equity Incentive Plan.</w:t>
      </w:r>
    </w:p>
    <w:p>
      <w:pPr>
        <w:spacing w:after="0" w:line="198" w:lineRule="exact"/>
        <w:rPr>
          <w:rFonts w:ascii="Times New Roman" w:cs="Times New Roman" w:eastAsia="Times New Roman" w:hAnsi="Times New Roman"/>
          <w:sz w:val="18"/>
          <w:szCs w:val="18"/>
          <w:b w:val="1"/>
          <w:bCs w:val="1"/>
          <w:color w:val="auto"/>
        </w:rPr>
      </w:pPr>
    </w:p>
    <w:p>
      <w:pPr>
        <w:ind w:left="1012" w:hanging="461"/>
        <w:spacing w:after="0"/>
        <w:tabs>
          <w:tab w:leader="none" w:pos="1012"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 Award</w:t>
      </w:r>
      <w:r>
        <w:rPr>
          <w:rFonts w:ascii="Times New Roman" w:cs="Times New Roman" w:eastAsia="Times New Roman" w:hAnsi="Times New Roman"/>
          <w:sz w:val="18"/>
          <w:szCs w:val="18"/>
          <w:color w:val="auto"/>
        </w:rPr>
        <w:t>” means an award granted under the Prior Plan that is outstanding as of the Effective Date.</w:t>
      </w:r>
    </w:p>
    <w:p>
      <w:pPr>
        <w:spacing w:after="0" w:line="184" w:lineRule="exact"/>
        <w:rPr>
          <w:rFonts w:ascii="Times New Roman" w:cs="Times New Roman" w:eastAsia="Times New Roman" w:hAnsi="Times New Roman"/>
          <w:sz w:val="18"/>
          <w:szCs w:val="18"/>
          <w:b w:val="1"/>
          <w:bCs w:val="1"/>
          <w:color w:val="auto"/>
        </w:rPr>
      </w:pPr>
    </w:p>
    <w:p>
      <w:pPr>
        <w:ind w:left="-8" w:right="240" w:firstLine="559"/>
        <w:spacing w:after="0" w:line="239" w:lineRule="auto"/>
        <w:tabs>
          <w:tab w:leader="none" w:pos="947"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Plan’s Available Reserve</w:t>
      </w:r>
      <w:r>
        <w:rPr>
          <w:rFonts w:ascii="Times New Roman" w:cs="Times New Roman" w:eastAsia="Times New Roman" w:hAnsi="Times New Roman"/>
          <w:sz w:val="18"/>
          <w:szCs w:val="18"/>
          <w:color w:val="auto"/>
        </w:rPr>
        <w:t>” means the number of shares available for the grant of new awards under the Prior Plan as of immediately following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211" w:right="359" w:bottom="1440" w:gutter="0" w:footer="0" w:header="0"/>
        </w:sectPr>
      </w:pPr>
    </w:p>
    <w:bookmarkStart w:id="95" w:name="page96"/>
    <w:bookmarkEnd w:id="95"/>
    <w:p>
      <w:pPr>
        <w:ind w:right="180" w:firstLine="559"/>
        <w:spacing w:after="0" w:line="225" w:lineRule="auto"/>
        <w:tabs>
          <w:tab w:leader="none" w:pos="895"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Plan’s Returning Shares</w:t>
      </w:r>
      <w:r>
        <w:rPr>
          <w:rFonts w:ascii="Times New Roman" w:cs="Times New Roman" w:eastAsia="Times New Roman" w:hAnsi="Times New Roman"/>
          <w:sz w:val="18"/>
          <w:szCs w:val="18"/>
          <w:color w:val="auto"/>
        </w:rPr>
        <w:t>” means shares of Common Stock subject to a Prior Plan Award that following the Effective Date: (i) are not issued because such Prior Plan Award or any portion thereof expires or otherwise terminates without all of the shares covered by such Prior Plan Award having been issued; (ii) are not issued because such Prior Plan Award or any portion thereof is settled in cash; or (iii) are forfeited back to or repurchased by the Company because of the failure to meet a contingency or condition required for the vesting of such shares.</w:t>
      </w:r>
    </w:p>
    <w:p>
      <w:pPr>
        <w:spacing w:after="0" w:line="168" w:lineRule="exact"/>
        <w:rPr>
          <w:rFonts w:ascii="Times New Roman" w:cs="Times New Roman" w:eastAsia="Times New Roman" w:hAnsi="Times New Roman"/>
          <w:sz w:val="18"/>
          <w:szCs w:val="18"/>
          <w:b w:val="1"/>
          <w:bCs w:val="1"/>
          <w:color w:val="auto"/>
        </w:rPr>
      </w:pPr>
    </w:p>
    <w:p>
      <w:pPr>
        <w:ind w:left="1000" w:hanging="441"/>
        <w:spacing w:after="0"/>
        <w:tabs>
          <w:tab w:leader="none" w:pos="100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means the document containing the Plan information specified in Section 10(a) of the Securities Act.</w:t>
      </w:r>
    </w:p>
    <w:p>
      <w:pPr>
        <w:spacing w:after="0" w:line="177" w:lineRule="exact"/>
        <w:rPr>
          <w:rFonts w:ascii="Times New Roman" w:cs="Times New Roman" w:eastAsia="Times New Roman" w:hAnsi="Times New Roman"/>
          <w:sz w:val="18"/>
          <w:szCs w:val="18"/>
          <w:b w:val="1"/>
          <w:bCs w:val="1"/>
          <w:color w:val="auto"/>
        </w:rPr>
      </w:pPr>
    </w:p>
    <w:p>
      <w:pPr>
        <w:ind w:left="1020" w:hanging="461"/>
        <w:spacing w:after="0"/>
        <w:tabs>
          <w:tab w:leader="none" w:pos="102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means an Award of shares of Common Stock which is granted pursuant to the terms and conditions of</w:t>
      </w:r>
    </w:p>
    <w:p>
      <w:pPr>
        <w:spacing w:after="0"/>
        <w:rPr>
          <w:sz w:val="20"/>
          <w:szCs w:val="20"/>
          <w:color w:val="auto"/>
        </w:rPr>
      </w:pPr>
      <w:r>
        <w:rPr>
          <w:rFonts w:ascii="Times New Roman" w:cs="Times New Roman" w:eastAsia="Times New Roman" w:hAnsi="Times New Roman"/>
          <w:sz w:val="18"/>
          <w:szCs w:val="18"/>
          <w:color w:val="auto"/>
        </w:rPr>
        <w:t>Section 5(a).</w:t>
      </w:r>
    </w:p>
    <w:p>
      <w:pPr>
        <w:spacing w:after="0" w:line="174" w:lineRule="exact"/>
        <w:rPr>
          <w:sz w:val="20"/>
          <w:szCs w:val="20"/>
          <w:color w:val="auto"/>
        </w:rPr>
      </w:pPr>
    </w:p>
    <w:p>
      <w:pPr>
        <w:ind w:right="100" w:firstLine="559"/>
        <w:spacing w:after="0" w:line="225" w:lineRule="auto"/>
        <w:tabs>
          <w:tab w:leader="none" w:pos="866"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 Agreement</w:t>
      </w:r>
      <w:r>
        <w:rPr>
          <w:rFonts w:ascii="Times New Roman" w:cs="Times New Roman" w:eastAsia="Times New Roman" w:hAnsi="Times New Roman"/>
          <w:sz w:val="18"/>
          <w:szCs w:val="18"/>
          <w:color w:val="auto"/>
        </w:rPr>
        <w:t>” means a written agreement between the Company and a Participant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spacing w:after="0" w:line="155" w:lineRule="exact"/>
        <w:rPr>
          <w:rFonts w:ascii="Times New Roman" w:cs="Times New Roman" w:eastAsia="Times New Roman" w:hAnsi="Times New Roman"/>
          <w:sz w:val="18"/>
          <w:szCs w:val="18"/>
          <w:b w:val="1"/>
          <w:bCs w:val="1"/>
          <w:color w:val="auto"/>
        </w:rPr>
      </w:pPr>
    </w:p>
    <w:p>
      <w:pPr>
        <w:ind w:right="440" w:firstLine="559"/>
        <w:spacing w:after="0" w:line="239" w:lineRule="auto"/>
        <w:tabs>
          <w:tab w:leader="none" w:pos="895"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means an Award of restricted stock units representing the right to receive an issuance of shares of Common Stock which is granted pursuant to the terms and conditions of Section 5(a).</w:t>
      </w:r>
    </w:p>
    <w:p>
      <w:pPr>
        <w:spacing w:after="0" w:line="168" w:lineRule="exact"/>
        <w:rPr>
          <w:rFonts w:ascii="Times New Roman" w:cs="Times New Roman" w:eastAsia="Times New Roman" w:hAnsi="Times New Roman"/>
          <w:sz w:val="18"/>
          <w:szCs w:val="18"/>
          <w:b w:val="1"/>
          <w:bCs w:val="1"/>
          <w:color w:val="auto"/>
        </w:rPr>
      </w:pPr>
    </w:p>
    <w:p>
      <w:pPr>
        <w:ind w:right="20" w:firstLine="559"/>
        <w:spacing w:after="0" w:line="221" w:lineRule="auto"/>
        <w:tabs>
          <w:tab w:leader="none" w:pos="1016"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means a written agreement between the Company and a Participant evidencing the terms and conditions of a RSU Award grant.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spacing w:after="0" w:line="169" w:lineRule="exact"/>
        <w:rPr>
          <w:rFonts w:ascii="Times New Roman" w:cs="Times New Roman" w:eastAsia="Times New Roman" w:hAnsi="Times New Roman"/>
          <w:sz w:val="18"/>
          <w:szCs w:val="18"/>
          <w:b w:val="1"/>
          <w:bCs w:val="1"/>
          <w:color w:val="auto"/>
        </w:rPr>
      </w:pPr>
    </w:p>
    <w:p>
      <w:pPr>
        <w:ind w:left="880" w:hanging="321"/>
        <w:spacing w:after="0"/>
        <w:tabs>
          <w:tab w:leader="none" w:pos="88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184" w:lineRule="exact"/>
        <w:rPr>
          <w:rFonts w:ascii="Times New Roman" w:cs="Times New Roman" w:eastAsia="Times New Roman" w:hAnsi="Times New Roman"/>
          <w:sz w:val="18"/>
          <w:szCs w:val="18"/>
          <w:b w:val="1"/>
          <w:bCs w:val="1"/>
          <w:color w:val="auto"/>
        </w:rPr>
      </w:pPr>
    </w:p>
    <w:p>
      <w:pPr>
        <w:ind w:left="1180" w:hanging="621"/>
        <w:spacing w:after="0"/>
        <w:tabs>
          <w:tab w:leader="none" w:pos="118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405</w:t>
      </w:r>
      <w:r>
        <w:rPr>
          <w:rFonts w:ascii="Times New Roman" w:cs="Times New Roman" w:eastAsia="Times New Roman" w:hAnsi="Times New Roman"/>
          <w:sz w:val="18"/>
          <w:szCs w:val="18"/>
          <w:color w:val="auto"/>
        </w:rPr>
        <w:t>” means Rule 405 promulgated under the Securities Act.</w:t>
      </w:r>
    </w:p>
    <w:p>
      <w:pPr>
        <w:spacing w:after="0" w:line="184" w:lineRule="exact"/>
        <w:rPr>
          <w:rFonts w:ascii="Times New Roman" w:cs="Times New Roman" w:eastAsia="Times New Roman" w:hAnsi="Times New Roman"/>
          <w:sz w:val="18"/>
          <w:szCs w:val="18"/>
          <w:b w:val="1"/>
          <w:bCs w:val="1"/>
          <w:color w:val="auto"/>
        </w:rPr>
      </w:pPr>
    </w:p>
    <w:p>
      <w:pPr>
        <w:ind w:left="1020" w:hanging="461"/>
        <w:spacing w:after="0"/>
        <w:tabs>
          <w:tab w:leader="none" w:pos="102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the regulations and other guidance thereunder.</w:t>
      </w:r>
    </w:p>
    <w:p>
      <w:pPr>
        <w:spacing w:after="0" w:line="198" w:lineRule="exact"/>
        <w:rPr>
          <w:rFonts w:ascii="Times New Roman" w:cs="Times New Roman" w:eastAsia="Times New Roman" w:hAnsi="Times New Roman"/>
          <w:sz w:val="18"/>
          <w:szCs w:val="18"/>
          <w:b w:val="1"/>
          <w:bCs w:val="1"/>
          <w:color w:val="auto"/>
        </w:rPr>
      </w:pPr>
    </w:p>
    <w:p>
      <w:pPr>
        <w:ind w:firstLine="559"/>
        <w:spacing w:after="0" w:line="227" w:lineRule="auto"/>
        <w:tabs>
          <w:tab w:leader="none" w:pos="985"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 Change in Control</w:t>
      </w:r>
      <w:r>
        <w:rPr>
          <w:rFonts w:ascii="Times New Roman" w:cs="Times New Roman" w:eastAsia="Times New Roman" w:hAnsi="Times New Roman"/>
          <w:sz w:val="18"/>
          <w:szCs w:val="18"/>
          <w:color w:val="auto"/>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spacing w:after="0" w:line="168" w:lineRule="exact"/>
        <w:rPr>
          <w:rFonts w:ascii="Times New Roman" w:cs="Times New Roman" w:eastAsia="Times New Roman" w:hAnsi="Times New Roman"/>
          <w:sz w:val="18"/>
          <w:szCs w:val="18"/>
          <w:b w:val="1"/>
          <w:bCs w:val="1"/>
          <w:color w:val="auto"/>
        </w:rPr>
      </w:pPr>
    </w:p>
    <w:p>
      <w:pPr>
        <w:ind w:left="1020" w:hanging="461"/>
        <w:spacing w:after="0"/>
        <w:tabs>
          <w:tab w:leader="none" w:pos="102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184" w:lineRule="exact"/>
        <w:rPr>
          <w:rFonts w:ascii="Times New Roman" w:cs="Times New Roman" w:eastAsia="Times New Roman" w:hAnsi="Times New Roman"/>
          <w:sz w:val="18"/>
          <w:szCs w:val="18"/>
          <w:b w:val="1"/>
          <w:bCs w:val="1"/>
          <w:color w:val="auto"/>
        </w:rPr>
      </w:pPr>
    </w:p>
    <w:p>
      <w:pPr>
        <w:ind w:left="1020" w:hanging="461"/>
        <w:spacing w:after="0"/>
        <w:tabs>
          <w:tab w:leader="none" w:pos="102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 means the number of shares of Common Stock available for issuance under the Plan as set forth in Section 2(a)(i).</w:t>
      </w:r>
    </w:p>
    <w:p>
      <w:pPr>
        <w:spacing w:after="0" w:line="184" w:lineRule="exact"/>
        <w:rPr>
          <w:rFonts w:ascii="Times New Roman" w:cs="Times New Roman" w:eastAsia="Times New Roman" w:hAnsi="Times New Roman"/>
          <w:sz w:val="18"/>
          <w:szCs w:val="18"/>
          <w:b w:val="1"/>
          <w:bCs w:val="1"/>
          <w:color w:val="auto"/>
        </w:rPr>
      </w:pPr>
    </w:p>
    <w:p>
      <w:pPr>
        <w:ind w:right="60" w:firstLine="559"/>
        <w:spacing w:after="0" w:line="255" w:lineRule="auto"/>
        <w:tabs>
          <w:tab w:leader="none" w:pos="955"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means a right to receive the appreciation on Common Stock which is granted pursuant to the terms and conditions of Section 4.</w:t>
      </w:r>
    </w:p>
    <w:p>
      <w:pPr>
        <w:spacing w:after="0" w:line="140" w:lineRule="exact"/>
        <w:rPr>
          <w:rFonts w:ascii="Times New Roman" w:cs="Times New Roman" w:eastAsia="Times New Roman" w:hAnsi="Times New Roman"/>
          <w:sz w:val="18"/>
          <w:szCs w:val="18"/>
          <w:b w:val="1"/>
          <w:bCs w:val="1"/>
          <w:color w:val="auto"/>
        </w:rPr>
      </w:pPr>
    </w:p>
    <w:p>
      <w:pPr>
        <w:ind w:right="40" w:firstLine="559"/>
        <w:spacing w:after="0" w:line="225" w:lineRule="auto"/>
        <w:tabs>
          <w:tab w:leader="none" w:pos="925"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 Agreement</w:t>
      </w:r>
      <w:r>
        <w:rPr>
          <w:rFonts w:ascii="Times New Roman" w:cs="Times New Roman" w:eastAsia="Times New Roman" w:hAnsi="Times New Roman"/>
          <w:sz w:val="18"/>
          <w:szCs w:val="18"/>
          <w:color w:val="auto"/>
        </w:rPr>
        <w:t>” means a written agreement between the Company and a Participant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spacing w:after="0" w:line="155" w:lineRule="exact"/>
        <w:rPr>
          <w:rFonts w:ascii="Times New Roman" w:cs="Times New Roman" w:eastAsia="Times New Roman" w:hAnsi="Times New Roman"/>
          <w:sz w:val="18"/>
          <w:szCs w:val="18"/>
          <w:b w:val="1"/>
          <w:bCs w:val="1"/>
          <w:color w:val="auto"/>
        </w:rPr>
      </w:pPr>
    </w:p>
    <w:p>
      <w:pPr>
        <w:ind w:right="160" w:firstLine="565"/>
        <w:spacing w:after="0" w:line="224" w:lineRule="auto"/>
        <w:tabs>
          <w:tab w:leader="none" w:pos="902"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54" w:lineRule="exact"/>
        <w:rPr>
          <w:rFonts w:ascii="Times New Roman" w:cs="Times New Roman" w:eastAsia="Times New Roman" w:hAnsi="Times New Roman"/>
          <w:sz w:val="18"/>
          <w:szCs w:val="18"/>
          <w:b w:val="1"/>
          <w:bCs w:val="1"/>
          <w:color w:val="auto"/>
        </w:rPr>
      </w:pPr>
    </w:p>
    <w:p>
      <w:pPr>
        <w:ind w:right="100" w:firstLine="559"/>
        <w:spacing w:after="0" w:line="239" w:lineRule="auto"/>
        <w:tabs>
          <w:tab w:leader="none" w:pos="1016"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168" w:lineRule="exact"/>
        <w:rPr>
          <w:rFonts w:ascii="Times New Roman" w:cs="Times New Roman" w:eastAsia="Times New Roman" w:hAnsi="Times New Roman"/>
          <w:sz w:val="18"/>
          <w:szCs w:val="18"/>
          <w:b w:val="1"/>
          <w:bCs w:val="1"/>
          <w:color w:val="auto"/>
        </w:rPr>
      </w:pPr>
    </w:p>
    <w:p>
      <w:pPr>
        <w:ind w:right="200" w:firstLine="559"/>
        <w:spacing w:after="0" w:line="239" w:lineRule="auto"/>
        <w:tabs>
          <w:tab w:leader="none" w:pos="985"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Policy</w:t>
      </w:r>
      <w:r>
        <w:rPr>
          <w:rFonts w:ascii="Times New Roman" w:cs="Times New Roman" w:eastAsia="Times New Roman" w:hAnsi="Times New Roman"/>
          <w:sz w:val="18"/>
          <w:szCs w:val="18"/>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154" w:lineRule="exact"/>
        <w:rPr>
          <w:rFonts w:ascii="Times New Roman" w:cs="Times New Roman" w:eastAsia="Times New Roman" w:hAnsi="Times New Roman"/>
          <w:sz w:val="18"/>
          <w:szCs w:val="18"/>
          <w:b w:val="1"/>
          <w:bCs w:val="1"/>
          <w:color w:val="auto"/>
        </w:rPr>
      </w:pPr>
    </w:p>
    <w:p>
      <w:pPr>
        <w:ind w:left="1120" w:hanging="561"/>
        <w:spacing w:after="0"/>
        <w:tabs>
          <w:tab w:leader="none" w:pos="112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means a Corporate Transaction or a Change in Control.</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96" w:name="page97"/>
    <w:bookmarkEnd w:id="96"/>
    <w:p>
      <w:pPr>
        <w:ind w:left="-120" w:firstLine="559"/>
        <w:spacing w:after="0" w:line="255" w:lineRule="auto"/>
        <w:tabs>
          <w:tab w:leader="none" w:pos="865"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Unvested Non-Exempt Award</w:t>
      </w:r>
      <w:r>
        <w:rPr>
          <w:rFonts w:ascii="Times New Roman" w:cs="Times New Roman" w:eastAsia="Times New Roman" w:hAnsi="Times New Roman"/>
          <w:sz w:val="18"/>
          <w:szCs w:val="18"/>
          <w:color w:val="auto"/>
        </w:rPr>
        <w:t>” means the portion of any Non-Exempt Award that had not vested in accordance with its terms upon or prior to the date of any Transaction.</w:t>
      </w:r>
    </w:p>
    <w:p>
      <w:pPr>
        <w:spacing w:after="0" w:line="140" w:lineRule="exact"/>
        <w:rPr>
          <w:rFonts w:ascii="Times New Roman" w:cs="Times New Roman" w:eastAsia="Times New Roman" w:hAnsi="Times New Roman"/>
          <w:sz w:val="18"/>
          <w:szCs w:val="18"/>
          <w:b w:val="1"/>
          <w:bCs w:val="1"/>
          <w:color w:val="auto"/>
        </w:rPr>
      </w:pPr>
    </w:p>
    <w:p>
      <w:pPr>
        <w:ind w:left="-120" w:right="40" w:firstLine="559"/>
        <w:spacing w:after="0" w:line="239" w:lineRule="auto"/>
        <w:tabs>
          <w:tab w:leader="none" w:pos="865"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Vested Non-Exempt Award</w:t>
      </w:r>
      <w:r>
        <w:rPr>
          <w:rFonts w:ascii="Times New Roman" w:cs="Times New Roman" w:eastAsia="Times New Roman" w:hAnsi="Times New Roman"/>
          <w:sz w:val="18"/>
          <w:szCs w:val="18"/>
          <w:color w:val="auto"/>
        </w:rPr>
        <w:t>” means the portion of any Non-Exempt Award that had vested in accordance with its terms upon or prior to the date of a Transaction.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64770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211" w:right="439" w:bottom="1440" w:gutter="0" w:footer="0" w:header="0"/>
        </w:sectPr>
      </w:pPr>
    </w:p>
    <w:bookmarkStart w:id="97" w:name="page98"/>
    <w:bookmarkEnd w:id="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937260</wp:posOffset>
            </wp:positionV>
            <wp:extent cx="2280285" cy="4114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228028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NEUROCRINE BIOSCIENCES, INC.</w:t>
      </w:r>
    </w:p>
    <w:p>
      <w:pPr>
        <w:spacing w:after="0" w:line="210" w:lineRule="auto"/>
        <w:rPr>
          <w:sz w:val="20"/>
          <w:szCs w:val="20"/>
          <w:color w:val="auto"/>
        </w:rPr>
      </w:pPr>
      <w:r>
        <w:rPr>
          <w:rFonts w:ascii="Arial" w:cs="Arial" w:eastAsia="Arial" w:hAnsi="Arial"/>
          <w:sz w:val="11"/>
          <w:szCs w:val="11"/>
          <w:i w:val="1"/>
          <w:iCs w:val="1"/>
          <w:color w:val="auto"/>
        </w:rPr>
        <w:t>6027 EDGEWOOD BEND COURT</w:t>
      </w:r>
    </w:p>
    <w:p>
      <w:pPr>
        <w:spacing w:after="0"/>
        <w:rPr>
          <w:sz w:val="20"/>
          <w:szCs w:val="20"/>
          <w:color w:val="auto"/>
        </w:rPr>
      </w:pPr>
      <w:r>
        <w:rPr>
          <w:rFonts w:ascii="Arial" w:cs="Arial" w:eastAsia="Arial" w:hAnsi="Arial"/>
          <w:sz w:val="11"/>
          <w:szCs w:val="11"/>
          <w:i w:val="1"/>
          <w:iCs w:val="1"/>
          <w:color w:val="auto"/>
        </w:rPr>
        <w:t>SAN DIEGO, CA 92130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VOTE BY INTERNET - </w:t>
      </w:r>
      <w:r>
        <w:rPr>
          <w:rFonts w:ascii="Arial" w:cs="Arial" w:eastAsia="Arial" w:hAnsi="Arial"/>
          <w:sz w:val="11"/>
          <w:szCs w:val="11"/>
          <w:b w:val="1"/>
          <w:bCs w:val="1"/>
          <w:u w:val="single" w:color="auto"/>
          <w:color w:val="auto"/>
        </w:rPr>
        <w:t>www.proxyvote.com</w:t>
      </w:r>
      <w:r>
        <w:rPr>
          <w:rFonts w:ascii="Arial" w:cs="Arial" w:eastAsia="Arial" w:hAnsi="Arial"/>
          <w:sz w:val="11"/>
          <w:szCs w:val="11"/>
          <w:b w:val="1"/>
          <w:bCs w:val="1"/>
          <w:color w:val="auto"/>
        </w:rPr>
        <w:t xml:space="preserve"> or scan the QR Barcode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-546100</wp:posOffset>
            </wp:positionV>
            <wp:extent cx="1697355" cy="3860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697355" cy="386080"/>
                    </a:xfrm>
                    <a:prstGeom prst="rect">
                      <a:avLst/>
                    </a:prstGeom>
                    <a:noFill/>
                  </pic:spPr>
                </pic:pic>
              </a:graphicData>
            </a:graphic>
          </wp:anchor>
        </w:drawing>
      </w:r>
    </w:p>
    <w:p>
      <w:pPr>
        <w:jc w:val="both"/>
        <w:ind w:right="240"/>
        <w:spacing w:after="0" w:line="219" w:lineRule="auto"/>
        <w:rPr>
          <w:sz w:val="20"/>
          <w:szCs w:val="20"/>
          <w:color w:val="auto"/>
        </w:rPr>
      </w:pPr>
      <w:r>
        <w:rPr>
          <w:rFonts w:ascii="Arial" w:cs="Arial" w:eastAsia="Arial" w:hAnsi="Arial"/>
          <w:sz w:val="11"/>
          <w:szCs w:val="11"/>
          <w:color w:val="auto"/>
        </w:rPr>
        <w:t>Use the Internet to transmit your voting instructions and for electronic delivery of information up until 11:59 P.M. Eastern Time the day before the meeting date. Have your proxy card in hand when you access the web site and follow the instructions to obtain your records and to create an electronic voting instruction form.</w:t>
      </w:r>
    </w:p>
    <w:p>
      <w:pPr>
        <w:spacing w:after="0" w:line="6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ELECTRONIC DELIVERY OF FUTURE PROXY MATERIALS</w:t>
      </w:r>
    </w:p>
    <w:p>
      <w:pPr>
        <w:ind w:right="40"/>
        <w:spacing w:after="0" w:line="213" w:lineRule="auto"/>
        <w:rPr>
          <w:sz w:val="20"/>
          <w:szCs w:val="20"/>
          <w:color w:val="auto"/>
        </w:rPr>
      </w:pPr>
      <w:r>
        <w:rPr>
          <w:rFonts w:ascii="Arial" w:cs="Arial" w:eastAsia="Arial" w:hAnsi="Arial"/>
          <w:sz w:val="11"/>
          <w:szCs w:val="11"/>
          <w:color w:val="auto"/>
        </w:rPr>
        <w:t>If you would like to reduce the costs incurred by Neurocrine Biosciences, Inc. in mailing stockholder communications,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stockholder communications electronically in future years.</w:t>
      </w:r>
    </w:p>
    <w:p>
      <w:pPr>
        <w:spacing w:after="0" w:line="6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VOTE BY PHONE - 1-800-690-6903</w:t>
      </w:r>
    </w:p>
    <w:p>
      <w:pPr>
        <w:ind w:right="180"/>
        <w:spacing w:after="0" w:line="227" w:lineRule="auto"/>
        <w:rPr>
          <w:sz w:val="20"/>
          <w:szCs w:val="20"/>
          <w:color w:val="auto"/>
        </w:rPr>
      </w:pPr>
      <w:r>
        <w:rPr>
          <w:rFonts w:ascii="Arial" w:cs="Arial" w:eastAsia="Arial" w:hAnsi="Arial"/>
          <w:sz w:val="11"/>
          <w:szCs w:val="11"/>
          <w:color w:val="auto"/>
        </w:rPr>
        <w:t>Use any touch-tone telephone to transmit your voting instructions up until 11:59 P.M. Eastern Time the day before the meeting date. Have your proxy card in hand when you call and then follow the instructions.</w:t>
      </w:r>
    </w:p>
    <w:p>
      <w:pPr>
        <w:spacing w:after="0" w:line="6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VOTE BY MAIL</w:t>
      </w:r>
    </w:p>
    <w:p>
      <w:pPr>
        <w:ind w:right="60"/>
        <w:spacing w:after="0" w:line="227" w:lineRule="auto"/>
        <w:rPr>
          <w:sz w:val="20"/>
          <w:szCs w:val="20"/>
          <w:color w:val="auto"/>
        </w:rPr>
      </w:pPr>
      <w:r>
        <w:rPr>
          <w:rFonts w:ascii="Arial" w:cs="Arial" w:eastAsia="Arial" w:hAnsi="Arial"/>
          <w:sz w:val="11"/>
          <w:szCs w:val="11"/>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900" w:space="720"/>
            <w:col w:w="558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VOTE, MARK BLOCKS BELOW IN BLUE OR BLACK INK AS FOLLOWS:</w:t>
      </w:r>
    </w:p>
    <w:p>
      <w:pPr>
        <w:spacing w:after="0" w:line="148" w:lineRule="exact"/>
        <w:rPr>
          <w:sz w:val="20"/>
          <w:szCs w:val="20"/>
          <w:color w:val="auto"/>
        </w:rPr>
      </w:pPr>
    </w:p>
    <w:p>
      <w:pPr>
        <w:ind w:left="6620"/>
        <w:spacing w:after="0"/>
        <w:tabs>
          <w:tab w:leader="none" w:pos="8700" w:val="left"/>
        </w:tabs>
        <w:rPr>
          <w:sz w:val="20"/>
          <w:szCs w:val="20"/>
          <w:color w:val="auto"/>
        </w:rPr>
      </w:pPr>
      <w:r>
        <w:rPr>
          <w:rFonts w:ascii="Times New Roman" w:cs="Times New Roman" w:eastAsia="Times New Roman" w:hAnsi="Times New Roman"/>
          <w:sz w:val="13"/>
          <w:szCs w:val="13"/>
          <w:color w:val="auto"/>
        </w:rPr>
        <w:t>V35276-P07599</w:t>
      </w:r>
      <w:r>
        <w:rPr>
          <w:sz w:val="20"/>
          <w:szCs w:val="20"/>
          <w:color w:val="auto"/>
        </w:rPr>
        <w:tab/>
      </w:r>
      <w:r>
        <w:rPr>
          <w:rFonts w:ascii="Times New Roman" w:cs="Times New Roman" w:eastAsia="Times New Roman" w:hAnsi="Times New Roman"/>
          <w:sz w:val="12"/>
          <w:szCs w:val="12"/>
          <w:color w:val="auto"/>
        </w:rPr>
        <w:t>KEEP THIS PORTION FOR YOUR RECORDS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 — — — — — — — — — — — — — — — — — — — — — — — — — — — — — — — — — — — —</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DETACH AND RETURN THIS PORTION ONLY</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32320" cy="37287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3728720"/>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b w:val="1"/>
          <w:bCs w:val="1"/>
          <w:color w:val="auto"/>
        </w:rPr>
        <w:t>NEUROCRINE BIOSCIENCES, INC.</w:t>
      </w:r>
    </w:p>
    <w:p>
      <w:pPr>
        <w:spacing w:after="0" w:line="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0"/>
          <w:szCs w:val="10"/>
          <w:b w:val="1"/>
          <w:bCs w:val="1"/>
          <w:color w:val="auto"/>
        </w:rPr>
        <w:t>The Board of Directors recommends that you vote</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b w:val="1"/>
          <w:bCs w:val="1"/>
          <w:color w:val="auto"/>
        </w:rPr>
        <w:t>FOR ALL of the following directors:</w:t>
      </w:r>
    </w:p>
    <w:p>
      <w:pPr>
        <w:spacing w:after="0" w:line="145" w:lineRule="exact"/>
        <w:rPr>
          <w:sz w:val="20"/>
          <w:szCs w:val="20"/>
          <w:color w:val="auto"/>
        </w:rPr>
      </w:pPr>
    </w:p>
    <w:p>
      <w:pPr>
        <w:ind w:left="700" w:hanging="235"/>
        <w:spacing w:after="0"/>
        <w:tabs>
          <w:tab w:leader="none" w:pos="700" w:val="left"/>
        </w:tabs>
        <w:numPr>
          <w:ilvl w:val="0"/>
          <w:numId w:val="1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Election of Directors</w:t>
      </w:r>
    </w:p>
    <w:p>
      <w:pPr>
        <w:spacing w:after="0" w:line="263" w:lineRule="exact"/>
        <w:rPr>
          <w:rFonts w:ascii="Times New Roman" w:cs="Times New Roman" w:eastAsia="Times New Roman" w:hAnsi="Times New Roman"/>
          <w:sz w:val="11"/>
          <w:szCs w:val="11"/>
          <w:color w:val="auto"/>
        </w:rPr>
      </w:pPr>
    </w:p>
    <w:p>
      <w:pPr>
        <w:ind w:left="70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b w:val="1"/>
          <w:bCs w:val="1"/>
          <w:color w:val="auto"/>
        </w:rPr>
        <w:t>Nominees:</w:t>
      </w:r>
    </w:p>
    <w:p>
      <w:pPr>
        <w:spacing w:after="0" w:line="2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01)</w:t>
      </w:r>
    </w:p>
    <w:p>
      <w:pPr>
        <w:spacing w:after="0" w:line="9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1"/>
          <w:szCs w:val="11"/>
          <w:color w:val="auto"/>
        </w:rPr>
        <w:t>William H. Rastetter, Ph.D.</w:t>
      </w:r>
    </w:p>
    <w:p>
      <w:pPr>
        <w:spacing w:after="0" w:line="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02)</w:t>
      </w:r>
    </w:p>
    <w:p>
      <w:pPr>
        <w:spacing w:after="0" w:line="9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1"/>
          <w:szCs w:val="11"/>
          <w:color w:val="auto"/>
        </w:rPr>
        <w:t>George J. Morrow</w:t>
      </w:r>
    </w:p>
    <w:p>
      <w:pPr>
        <w:spacing w:after="0" w:line="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03)</w:t>
      </w:r>
    </w:p>
    <w:p>
      <w:pPr>
        <w:spacing w:after="0" w:line="9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1"/>
          <w:szCs w:val="11"/>
          <w:color w:val="auto"/>
        </w:rPr>
        <w:t>Leslie V. Norwalk</w:t>
      </w:r>
    </w:p>
    <w:p>
      <w:pPr>
        <w:spacing w:after="0" w:line="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04)</w:t>
      </w:r>
    </w:p>
    <w:p>
      <w:pPr>
        <w:spacing w:after="0" w:line="9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1"/>
          <w:szCs w:val="11"/>
          <w:color w:val="auto"/>
        </w:rPr>
        <w:t>Christine A. Poon</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420" w:type="dxa"/>
            <w:vAlign w:val="bottom"/>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4"/>
              </w:rPr>
              <w:t>For All</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Withhold</w:t>
            </w:r>
          </w:p>
        </w:tc>
        <w:tc>
          <w:tcPr>
            <w:tcW w:w="760" w:type="dxa"/>
            <w:vAlign w:val="bottom"/>
          </w:tcPr>
          <w:p>
            <w:pPr>
              <w:jc w:val="center"/>
              <w:ind w:right="197"/>
              <w:spacing w:after="0"/>
              <w:rPr>
                <w:sz w:val="20"/>
                <w:szCs w:val="20"/>
                <w:color w:val="auto"/>
              </w:rPr>
            </w:pPr>
            <w:r>
              <w:rPr>
                <w:rFonts w:ascii="Times New Roman" w:cs="Times New Roman" w:eastAsia="Times New Roman" w:hAnsi="Times New Roman"/>
                <w:sz w:val="11"/>
                <w:szCs w:val="11"/>
                <w:b w:val="1"/>
                <w:bCs w:val="1"/>
                <w:color w:val="auto"/>
              </w:rPr>
              <w:t>For All</w:t>
            </w:r>
          </w:p>
        </w:tc>
        <w:tc>
          <w:tcPr>
            <w:tcW w:w="2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 withhold authority to vote for any individual nominee(s),</w:t>
            </w:r>
          </w:p>
        </w:tc>
      </w:tr>
      <w:tr>
        <w:trPr>
          <w:trHeight w:val="108"/>
        </w:trPr>
        <w:tc>
          <w:tcPr>
            <w:tcW w:w="420" w:type="dxa"/>
            <w:vAlign w:val="bottom"/>
          </w:tcPr>
          <w:p>
            <w:pPr>
              <w:spacing w:after="0"/>
              <w:rPr>
                <w:sz w:val="9"/>
                <w:szCs w:val="9"/>
                <w:color w:val="auto"/>
              </w:rPr>
            </w:pPr>
          </w:p>
        </w:tc>
        <w:tc>
          <w:tcPr>
            <w:tcW w:w="6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85"/>
              </w:rPr>
              <w:t>All</w:t>
            </w:r>
          </w:p>
        </w:tc>
        <w:tc>
          <w:tcPr>
            <w:tcW w:w="760" w:type="dxa"/>
            <w:vAlign w:val="bottom"/>
          </w:tcPr>
          <w:p>
            <w:pPr>
              <w:jc w:val="center"/>
              <w:ind w:right="217"/>
              <w:spacing w:after="0" w:line="108" w:lineRule="exact"/>
              <w:rPr>
                <w:sz w:val="20"/>
                <w:szCs w:val="20"/>
                <w:color w:val="auto"/>
              </w:rPr>
            </w:pPr>
            <w:r>
              <w:rPr>
                <w:rFonts w:ascii="Times New Roman" w:cs="Times New Roman" w:eastAsia="Times New Roman" w:hAnsi="Times New Roman"/>
                <w:sz w:val="11"/>
                <w:szCs w:val="11"/>
                <w:b w:val="1"/>
                <w:bCs w:val="1"/>
                <w:color w:val="auto"/>
                <w:w w:val="98"/>
              </w:rPr>
              <w:t>Except</w:t>
            </w:r>
          </w:p>
        </w:tc>
        <w:tc>
          <w:tcPr>
            <w:tcW w:w="28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mark “For All Except” and write the number(s) of the</w:t>
            </w:r>
          </w:p>
        </w:tc>
      </w:tr>
      <w:tr>
        <w:trPr>
          <w:trHeight w:val="140"/>
        </w:trPr>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nominee(s) on the line below.</w:t>
            </w:r>
          </w:p>
        </w:tc>
      </w:tr>
      <w:tr>
        <w:trPr>
          <w:trHeight w:val="423"/>
        </w:trPr>
        <w:tc>
          <w:tcPr>
            <w:tcW w:w="420" w:type="dxa"/>
            <w:vAlign w:val="bottom"/>
          </w:tcPr>
          <w:p>
            <w:pPr>
              <w:jc w:val="center"/>
              <w:ind w:right="33"/>
              <w:spacing w:after="0" w:line="161" w:lineRule="exact"/>
              <w:rPr>
                <w:sz w:val="20"/>
                <w:szCs w:val="20"/>
                <w:color w:val="auto"/>
              </w:rPr>
            </w:pPr>
            <w:r>
              <w:rPr>
                <w:rFonts w:ascii="MS PGothic" w:cs="MS PGothic" w:eastAsia="MS PGothic" w:hAnsi="MS PGothic"/>
                <w:sz w:val="16"/>
                <w:szCs w:val="16"/>
                <w:color w:val="auto"/>
                <w:highlight w:val="black"/>
                <w:w w:val="99"/>
              </w:rPr>
              <w:t>☐</w:t>
            </w:r>
          </w:p>
        </w:tc>
        <w:tc>
          <w:tcPr>
            <w:tcW w:w="6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highlight w:val="black"/>
                <w:w w:val="99"/>
              </w:rPr>
              <w:t>☐</w:t>
            </w:r>
          </w:p>
        </w:tc>
        <w:tc>
          <w:tcPr>
            <w:tcW w:w="760" w:type="dxa"/>
            <w:vAlign w:val="bottom"/>
          </w:tcPr>
          <w:p>
            <w:pPr>
              <w:jc w:val="center"/>
              <w:ind w:right="197"/>
              <w:spacing w:after="0" w:line="161" w:lineRule="exact"/>
              <w:rPr>
                <w:sz w:val="20"/>
                <w:szCs w:val="20"/>
                <w:color w:val="auto"/>
              </w:rPr>
            </w:pPr>
            <w:r>
              <w:rPr>
                <w:rFonts w:ascii="MS PGothic" w:cs="MS PGothic" w:eastAsia="MS PGothic" w:hAnsi="MS PGothic"/>
                <w:sz w:val="16"/>
                <w:szCs w:val="16"/>
                <w:color w:val="auto"/>
                <w:highlight w:val="black"/>
                <w:w w:val="87"/>
              </w:rPr>
              <w:t>☐</w:t>
            </w:r>
          </w:p>
        </w:tc>
        <w:tc>
          <w:tcPr>
            <w:tcW w:w="2860" w:type="dxa"/>
            <w:vAlign w:val="bottom"/>
            <w:tcBorders>
              <w:bottom w:val="single" w:sz="8" w:color="auto"/>
            </w:tcBorders>
          </w:tcPr>
          <w:p>
            <w:pPr>
              <w:spacing w:after="0"/>
              <w:rPr>
                <w:sz w:val="24"/>
                <w:szCs w:val="24"/>
                <w:color w:val="auto"/>
              </w:rPr>
            </w:pPr>
          </w:p>
        </w:tc>
      </w:tr>
    </w:tbl>
    <w:p>
      <w:pPr>
        <w:spacing w:after="0" w:line="2171" w:lineRule="exact"/>
        <w:rPr>
          <w:sz w:val="20"/>
          <w:szCs w:val="20"/>
          <w:color w:val="auto"/>
        </w:rPr>
      </w:pPr>
    </w:p>
    <w:p>
      <w:pPr>
        <w:sectPr>
          <w:pgSz w:w="11900" w:h="16838" w:orient="portrait"/>
          <w:cols w:equalWidth="0" w:num="2">
            <w:col w:w="3340" w:space="720"/>
            <w:col w:w="7140"/>
          </w:cols>
          <w:pgMar w:left="340" w:top="1440" w:right="359" w:bottom="1440" w:gutter="0" w:footer="0" w:header="0"/>
          <w:type w:val="continuous"/>
        </w:sectPr>
      </w:pPr>
    </w:p>
    <w:tbl>
      <w:tblPr>
        <w:tblLayout w:type="fixed"/>
        <w:tblInd w:w="460" w:type="dxa"/>
        <w:tblCellMar>
          <w:top w:w="0" w:type="dxa"/>
          <w:left w:w="0" w:type="dxa"/>
          <w:bottom w:w="0" w:type="dxa"/>
          <w:right w:w="0" w:type="dxa"/>
        </w:tblCellMar>
      </w:tblPr>
      <w:tr>
        <w:trPr>
          <w:trHeight w:val="142"/>
        </w:trPr>
        <w:tc>
          <w:tcPr>
            <w:tcW w:w="85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The Board of Directors recommends you vote FOR proposals 2, 3 and 4:</w:t>
            </w:r>
          </w:p>
        </w:tc>
        <w:tc>
          <w:tcPr>
            <w:tcW w:w="760" w:type="dxa"/>
            <w:vAlign w:val="bottom"/>
          </w:tcPr>
          <w:p>
            <w:pPr>
              <w:ind w:left="440"/>
              <w:spacing w:after="0"/>
              <w:rPr>
                <w:sz w:val="20"/>
                <w:szCs w:val="20"/>
                <w:color w:val="auto"/>
              </w:rPr>
            </w:pPr>
            <w:r>
              <w:rPr>
                <w:rFonts w:ascii="Times New Roman" w:cs="Times New Roman" w:eastAsia="Times New Roman" w:hAnsi="Times New Roman"/>
                <w:sz w:val="11"/>
                <w:szCs w:val="11"/>
                <w:b w:val="1"/>
                <w:bCs w:val="1"/>
                <w:color w:val="auto"/>
              </w:rPr>
              <w:t>For</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Against</w:t>
            </w:r>
          </w:p>
        </w:tc>
        <w:tc>
          <w:tcPr>
            <w:tcW w:w="480" w:type="dxa"/>
            <w:vAlign w:val="bottom"/>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8"/>
              </w:rPr>
              <w:t>Abstain</w:t>
            </w:r>
          </w:p>
        </w:tc>
      </w:tr>
      <w:tr>
        <w:trPr>
          <w:trHeight w:val="433"/>
        </w:trPr>
        <w:tc>
          <w:tcPr>
            <w:tcW w:w="160" w:type="dxa"/>
            <w:vAlign w:val="bottom"/>
          </w:tcPr>
          <w:p>
            <w:pPr>
              <w:spacing w:after="0"/>
              <w:rPr>
                <w:sz w:val="20"/>
                <w:szCs w:val="20"/>
                <w:color w:val="auto"/>
              </w:rPr>
            </w:pPr>
            <w:r>
              <w:rPr>
                <w:rFonts w:ascii="Times New Roman" w:cs="Times New Roman" w:eastAsia="Times New Roman" w:hAnsi="Times New Roman"/>
                <w:sz w:val="11"/>
                <w:szCs w:val="11"/>
                <w:color w:val="auto"/>
              </w:rPr>
              <w:t>2.</w:t>
            </w:r>
          </w:p>
        </w:tc>
        <w:tc>
          <w:tcPr>
            <w:tcW w:w="84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Advisory vote on the compensation paid to the Company’s named executive officers;</w:t>
            </w:r>
          </w:p>
        </w:tc>
        <w:tc>
          <w:tcPr>
            <w:tcW w:w="760" w:type="dxa"/>
            <w:vAlign w:val="bottom"/>
          </w:tcPr>
          <w:p>
            <w:pPr>
              <w:ind w:left="4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6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highlight w:val="black"/>
                <w:w w:val="87"/>
              </w:rPr>
              <w:t>☐</w:t>
            </w:r>
          </w:p>
        </w:tc>
        <w:tc>
          <w:tcPr>
            <w:tcW w:w="480" w:type="dxa"/>
            <w:vAlign w:val="bottom"/>
          </w:tcPr>
          <w:p>
            <w:pPr>
              <w:jc w:val="center"/>
              <w:ind w:left="26"/>
              <w:spacing w:after="0" w:line="161" w:lineRule="exact"/>
              <w:rPr>
                <w:sz w:val="20"/>
                <w:szCs w:val="20"/>
                <w:color w:val="auto"/>
              </w:rPr>
            </w:pPr>
            <w:r>
              <w:rPr>
                <w:rFonts w:ascii="MS PGothic" w:cs="MS PGothic" w:eastAsia="MS PGothic" w:hAnsi="MS PGothic"/>
                <w:sz w:val="16"/>
                <w:szCs w:val="16"/>
                <w:color w:val="auto"/>
                <w:highlight w:val="black"/>
                <w:w w:val="87"/>
              </w:rPr>
              <w:t>☐</w:t>
            </w:r>
          </w:p>
        </w:tc>
      </w:tr>
      <w:tr>
        <w:trPr>
          <w:trHeight w:val="378"/>
        </w:trPr>
        <w:tc>
          <w:tcPr>
            <w:tcW w:w="160" w:type="dxa"/>
            <w:vAlign w:val="bottom"/>
          </w:tcPr>
          <w:p>
            <w:pPr>
              <w:spacing w:after="0"/>
              <w:rPr>
                <w:sz w:val="20"/>
                <w:szCs w:val="20"/>
                <w:color w:val="auto"/>
              </w:rPr>
            </w:pPr>
            <w:r>
              <w:rPr>
                <w:rFonts w:ascii="Times New Roman" w:cs="Times New Roman" w:eastAsia="Times New Roman" w:hAnsi="Times New Roman"/>
                <w:sz w:val="11"/>
                <w:szCs w:val="11"/>
                <w:color w:val="auto"/>
              </w:rPr>
              <w:t>3.</w:t>
            </w:r>
          </w:p>
        </w:tc>
        <w:tc>
          <w:tcPr>
            <w:tcW w:w="84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To approve an amendment of the Company’s 2020 Equity Incentive Plan to increase the number of shares of common stock reserved for issuance thereunder by 3,635,000 shares; and</w:t>
            </w:r>
          </w:p>
        </w:tc>
        <w:tc>
          <w:tcPr>
            <w:tcW w:w="760" w:type="dxa"/>
            <w:vAlign w:val="bottom"/>
          </w:tcPr>
          <w:p>
            <w:pPr>
              <w:ind w:left="4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6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highlight w:val="black"/>
                <w:w w:val="87"/>
              </w:rPr>
              <w:t>☐</w:t>
            </w:r>
          </w:p>
        </w:tc>
        <w:tc>
          <w:tcPr>
            <w:tcW w:w="480" w:type="dxa"/>
            <w:vAlign w:val="bottom"/>
          </w:tcPr>
          <w:p>
            <w:pPr>
              <w:jc w:val="center"/>
              <w:ind w:left="26"/>
              <w:spacing w:after="0" w:line="161" w:lineRule="exact"/>
              <w:rPr>
                <w:sz w:val="20"/>
                <w:szCs w:val="20"/>
                <w:color w:val="auto"/>
              </w:rPr>
            </w:pPr>
            <w:r>
              <w:rPr>
                <w:rFonts w:ascii="MS PGothic" w:cs="MS PGothic" w:eastAsia="MS PGothic" w:hAnsi="MS PGothic"/>
                <w:sz w:val="16"/>
                <w:szCs w:val="16"/>
                <w:color w:val="auto"/>
                <w:highlight w:val="black"/>
                <w:w w:val="87"/>
              </w:rPr>
              <w:t>☐</w:t>
            </w:r>
          </w:p>
        </w:tc>
      </w:tr>
      <w:tr>
        <w:trPr>
          <w:trHeight w:val="378"/>
        </w:trPr>
        <w:tc>
          <w:tcPr>
            <w:tcW w:w="160" w:type="dxa"/>
            <w:vAlign w:val="bottom"/>
          </w:tcPr>
          <w:p>
            <w:pPr>
              <w:spacing w:after="0"/>
              <w:rPr>
                <w:sz w:val="20"/>
                <w:szCs w:val="20"/>
                <w:color w:val="auto"/>
              </w:rPr>
            </w:pPr>
            <w:r>
              <w:rPr>
                <w:rFonts w:ascii="Times New Roman" w:cs="Times New Roman" w:eastAsia="Times New Roman" w:hAnsi="Times New Roman"/>
                <w:sz w:val="11"/>
                <w:szCs w:val="11"/>
                <w:color w:val="auto"/>
              </w:rPr>
              <w:t>4.</w:t>
            </w:r>
          </w:p>
        </w:tc>
        <w:tc>
          <w:tcPr>
            <w:tcW w:w="84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To ratify the appointment of Ernst &amp; Young LLP as the Company’s independent registered public accounting firm for the fiscal year ending December 31, 2024.</w:t>
            </w:r>
          </w:p>
        </w:tc>
        <w:tc>
          <w:tcPr>
            <w:tcW w:w="760" w:type="dxa"/>
            <w:vAlign w:val="bottom"/>
          </w:tcPr>
          <w:p>
            <w:pPr>
              <w:ind w:left="4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6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highlight w:val="black"/>
                <w:w w:val="87"/>
              </w:rPr>
              <w:t>☐</w:t>
            </w:r>
          </w:p>
        </w:tc>
        <w:tc>
          <w:tcPr>
            <w:tcW w:w="480" w:type="dxa"/>
            <w:vAlign w:val="bottom"/>
          </w:tcPr>
          <w:p>
            <w:pPr>
              <w:jc w:val="center"/>
              <w:ind w:left="26"/>
              <w:spacing w:after="0" w:line="161" w:lineRule="exact"/>
              <w:rPr>
                <w:sz w:val="20"/>
                <w:szCs w:val="20"/>
                <w:color w:val="auto"/>
              </w:rPr>
            </w:pPr>
            <w:r>
              <w:rPr>
                <w:rFonts w:ascii="MS PGothic" w:cs="MS PGothic" w:eastAsia="MS PGothic" w:hAnsi="MS PGothic"/>
                <w:sz w:val="16"/>
                <w:szCs w:val="16"/>
                <w:color w:val="auto"/>
                <w:highlight w:val="black"/>
                <w:w w:val="87"/>
              </w:rPr>
              <w:t>☐</w:t>
            </w:r>
          </w:p>
        </w:tc>
      </w:tr>
    </w:tbl>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b w:val="1"/>
          <w:bCs w:val="1"/>
          <w:color w:val="auto"/>
        </w:rPr>
        <w:t xml:space="preserve">NOTE: </w:t>
      </w:r>
      <w:r>
        <w:rPr>
          <w:rFonts w:ascii="Times New Roman" w:cs="Times New Roman" w:eastAsia="Times New Roman" w:hAnsi="Times New Roman"/>
          <w:sz w:val="11"/>
          <w:szCs w:val="11"/>
          <w:color w:val="auto"/>
        </w:rPr>
        <w:t>Company to transact such other business as may properly come before the Annual Meeting or any continuation, adjournment or postponement thereof.</w:t>
      </w:r>
    </w:p>
    <w:p>
      <w:pPr>
        <w:spacing w:after="0" w:line="213" w:lineRule="exact"/>
        <w:rPr>
          <w:sz w:val="20"/>
          <w:szCs w:val="20"/>
          <w:color w:val="auto"/>
        </w:rPr>
      </w:pPr>
    </w:p>
    <w:p>
      <w:pPr>
        <w:ind w:left="460" w:right="2180"/>
        <w:spacing w:after="0" w:line="235" w:lineRule="auto"/>
        <w:rPr>
          <w:sz w:val="20"/>
          <w:szCs w:val="20"/>
          <w:color w:val="auto"/>
        </w:rPr>
      </w:pPr>
      <w:r>
        <w:rPr>
          <w:rFonts w:ascii="Times New Roman" w:cs="Times New Roman" w:eastAsia="Times New Roman" w:hAnsi="Times New Roman"/>
          <w:sz w:val="11"/>
          <w:szCs w:val="11"/>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362" w:lineRule="exact"/>
        <w:rPr>
          <w:sz w:val="20"/>
          <w:szCs w:val="20"/>
          <w:color w:val="auto"/>
        </w:rPr>
      </w:pPr>
    </w:p>
    <w:p>
      <w:pPr>
        <w:ind w:left="460"/>
        <w:spacing w:after="0"/>
        <w:tabs>
          <w:tab w:leader="none" w:pos="3380" w:val="left"/>
          <w:tab w:leader="none" w:pos="5860" w:val="left"/>
          <w:tab w:leader="none" w:pos="8720" w:val="left"/>
        </w:tabs>
        <w:rPr>
          <w:sz w:val="20"/>
          <w:szCs w:val="20"/>
          <w:color w:val="auto"/>
        </w:rPr>
      </w:pPr>
      <w:r>
        <w:rPr>
          <w:rFonts w:ascii="Times New Roman" w:cs="Times New Roman" w:eastAsia="Times New Roman" w:hAnsi="Times New Roman"/>
          <w:sz w:val="11"/>
          <w:szCs w:val="11"/>
          <w:color w:val="auto"/>
        </w:rPr>
        <w:t>Signature [PLEASE SIGN WITHIN BOX]</w:t>
      </w:r>
      <w:r>
        <w:rPr>
          <w:sz w:val="20"/>
          <w:szCs w:val="20"/>
          <w:color w:val="auto"/>
        </w:rPr>
        <w:tab/>
      </w:r>
      <w:r>
        <w:rPr>
          <w:rFonts w:ascii="Times New Roman" w:cs="Times New Roman" w:eastAsia="Times New Roman" w:hAnsi="Times New Roman"/>
          <w:sz w:val="11"/>
          <w:szCs w:val="11"/>
          <w:color w:val="auto"/>
        </w:rPr>
        <w:t>Date</w:t>
      </w:r>
      <w:r>
        <w:rPr>
          <w:sz w:val="20"/>
          <w:szCs w:val="20"/>
          <w:color w:val="auto"/>
        </w:rPr>
        <w:tab/>
      </w:r>
      <w:r>
        <w:rPr>
          <w:rFonts w:ascii="Times New Roman" w:cs="Times New Roman" w:eastAsia="Times New Roman" w:hAnsi="Times New Roman"/>
          <w:sz w:val="11"/>
          <w:szCs w:val="11"/>
          <w:color w:val="auto"/>
        </w:rPr>
        <w:t>Signature (Joint Owners)</w:t>
      </w:r>
      <w:r>
        <w:rPr>
          <w:sz w:val="20"/>
          <w:szCs w:val="20"/>
          <w:color w:val="auto"/>
        </w:rPr>
        <w:tab/>
      </w:r>
      <w:r>
        <w:rPr>
          <w:rFonts w:ascii="Times New Roman" w:cs="Times New Roman" w:eastAsia="Times New Roman" w:hAnsi="Times New Roman"/>
          <w:sz w:val="10"/>
          <w:szCs w:val="1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909955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98" w:name="page99"/>
    <w:bookmarkEnd w:id="98"/>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 — — — — — — — — — — — — — — — — — — — — — — — — — — — — — — — — — — — —</w:t>
      </w:r>
    </w:p>
    <w:p>
      <w:pPr>
        <w:spacing w:after="0" w:line="293" w:lineRule="exact"/>
        <w:rPr>
          <w:sz w:val="20"/>
          <w:szCs w:val="20"/>
          <w:color w:val="auto"/>
        </w:rPr>
      </w:pPr>
    </w:p>
    <w:p>
      <w:pPr>
        <w:ind w:left="9660"/>
        <w:spacing w:after="0"/>
        <w:rPr>
          <w:sz w:val="20"/>
          <w:szCs w:val="20"/>
          <w:color w:val="auto"/>
        </w:rPr>
      </w:pPr>
      <w:r>
        <w:rPr>
          <w:rFonts w:ascii="Arial" w:cs="Arial" w:eastAsia="Arial" w:hAnsi="Arial"/>
          <w:sz w:val="13"/>
          <w:szCs w:val="13"/>
          <w:color w:val="auto"/>
        </w:rPr>
        <w:t>V35277-P07599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62230</wp:posOffset>
            </wp:positionV>
            <wp:extent cx="7132320" cy="37115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3711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This Proxy is solicited on behalf of the Board of Directors</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NEUROCRINE BIOSCIENCES, INC.</w:t>
      </w:r>
    </w:p>
    <w:p>
      <w:pPr>
        <w:jc w:val="center"/>
        <w:spacing w:after="0" w:line="205" w:lineRule="auto"/>
        <w:rPr>
          <w:sz w:val="20"/>
          <w:szCs w:val="20"/>
          <w:color w:val="auto"/>
        </w:rPr>
      </w:pPr>
      <w:r>
        <w:rPr>
          <w:rFonts w:ascii="Times New Roman" w:cs="Times New Roman" w:eastAsia="Times New Roman" w:hAnsi="Times New Roman"/>
          <w:sz w:val="22"/>
          <w:szCs w:val="22"/>
          <w:b w:val="1"/>
          <w:bCs w:val="1"/>
          <w:color w:val="auto"/>
        </w:rPr>
        <w:t>2024 ANNUAL MEETING OF STOCKHOLDERS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BE HELD MAY 22, 2024</w:t>
      </w:r>
    </w:p>
    <w:p>
      <w:pPr>
        <w:spacing w:after="0" w:line="38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undersigned stockholder of NEUROCRINE BIOSCIENCES, INC., a Delaware corporation, hereby acknowledges receipt of the Notice of Annual Meeting of Stockholders and Proxy Statement, each dated April 10, 2024, and hereby appoints Kevin C. Gorman, Ph.D. and Matthew C. Abernethy, and either of them, proxies and attorneys-in-fact, with full power to either of substitution, on behalf and in the name of the</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undersigned, to represent the undersigned at the 2024 Annual Meeting of Stockholders of NEUROCRINE BIOSCIENCES, INC. to be held on May 22, 2024 at 10:30 a.m. local time, at the Company’s corporate offices located at 6027 Edgewood Bend Court, San Diego, California, 92130, and at any continuation, adjournment or postponement thereof, and to vote all shares of Common Stock which the undersigned would be entitled to vote, if then and there personally present, on the matters set forth on the reverse side.</w:t>
      </w:r>
    </w:p>
    <w:p>
      <w:pPr>
        <w:spacing w:after="0" w:line="17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THIS PROXY WILL BE VOTED AS DIRECTED OR, IF NO CONTRARY DIRECTION IS INDICATED, WILL BE VOTED FOR THE ELECTION OF THE FOUR NOMINEES FOR DIRECTOR NAMED IN THE PROXY STATEMENT, FOR THE ADVISORY VOTE ON THE COMPENSATION PAID TO THE COMPANY'S NAMED EXECUTIVE OFFICERS, FOR APPROVAL OF AN AMENDMENT TO THE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COMPANY'S 2020 EQUITY INCENTIVE PLAN, FOR RATIFICATION OF THE APPOINTMENT OF ERNST &amp; YOUNG LLP AS THE COMPANY'S INDEPENDENT REGISTERED PUBLIC ACCOUNTING FIRM, AND TO TRANSACT SUCH OTHER BUSINESS AS MAY PROPERLY COME BEFORE THE ANNUAL MEETING OR ANY CONTINUATION, ADJOURNMENT OR POSTPONEMENT THEREOF.</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sectPr>
      <w:pgSz w:w="11900" w:h="16838" w:orient="portrait"/>
      <w:cols w:equalWidth="0" w:num="1">
        <w:col w:w="10600"/>
      </w:cols>
      <w:pgMar w:left="640" w:top="144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1."/>
      <w:numFmt w:val="decimal"/>
      <w:start w:val="1"/>
    </w:lvl>
  </w:abstractNum>
  <w:abstractNum w:abstractNumId="4">
    <w:nsid w:val="77AE35EB"/>
    <w:multiLevelType w:val="hybridMultilevel"/>
    <w:lvl w:ilvl="0">
      <w:lvlJc w:val="left"/>
      <w:lvlText w:val="•"/>
      <w:numFmt w:val="bullet"/>
      <w:start w:val="1"/>
    </w:lvl>
  </w:abstractNum>
  <w:abstractNum w:abstractNumId="5">
    <w:nsid w:val="579BE4F1"/>
    <w:multiLevelType w:val="hybridMultilevel"/>
    <w:lvl w:ilvl="0">
      <w:lvlJc w:val="left"/>
      <w:lvlText w:val="(%1)"/>
      <w:numFmt w:val="decimal"/>
      <w:start w:val="1"/>
    </w:lvl>
  </w:abstractNum>
  <w:abstractNum w:abstractNumId="6">
    <w:nsid w:val="310C50B3"/>
    <w:multiLevelType w:val="hybridMultilevel"/>
    <w:lvl w:ilvl="0">
      <w:lvlJc w:val="left"/>
      <w:lvlText w:val="(%1)"/>
      <w:numFmt w:val="decimal"/>
      <w:start w:val="9"/>
    </w:lvl>
  </w:abstractNum>
  <w:abstractNum w:abstractNumId="7">
    <w:nsid w:val="5FF87E05"/>
    <w:multiLevelType w:val="hybridMultilevel"/>
    <w:lvl w:ilvl="0">
      <w:lvlJc w:val="left"/>
      <w:lvlText w:val="☒"/>
      <w:numFmt w:val="bullet"/>
      <w:start w:val="1"/>
    </w:lvl>
  </w:abstractNum>
  <w:abstractNum w:abstractNumId="8">
    <w:nsid w:val="2F305DEF"/>
    <w:multiLevelType w:val="hybridMultilevel"/>
    <w:lvl w:ilvl="0">
      <w:lvlJc w:val="left"/>
      <w:lvlText w:val="☒"/>
      <w:numFmt w:val="bullet"/>
      <w:start w:val="1"/>
    </w:lvl>
  </w:abstractNum>
  <w:abstractNum w:abstractNumId="9">
    <w:nsid w:val="25A70BF7"/>
    <w:multiLevelType w:val="hybridMultilevel"/>
    <w:lvl w:ilvl="0">
      <w:lvlJc w:val="left"/>
      <w:lvlText w:val="•"/>
      <w:numFmt w:val="bullet"/>
      <w:start w:val="1"/>
    </w:lvl>
  </w:abstractNum>
  <w:abstractNum w:abstractNumId="10">
    <w:nsid w:val="1DBABF00"/>
    <w:multiLevelType w:val="hybridMultilevel"/>
    <w:lvl w:ilvl="0">
      <w:lvlJc w:val="left"/>
      <w:lvlText w:val="•"/>
      <w:numFmt w:val="bullet"/>
      <w:start w:val="1"/>
    </w:lvl>
  </w:abstractNum>
  <w:abstractNum w:abstractNumId="11">
    <w:nsid w:val="4AD084E9"/>
    <w:multiLevelType w:val="hybridMultilevel"/>
    <w:lvl w:ilvl="0">
      <w:lvlJc w:val="left"/>
      <w:lvlText w:val="•"/>
      <w:numFmt w:val="bullet"/>
      <w:start w:val="1"/>
    </w:lvl>
  </w:abstractNum>
  <w:abstractNum w:abstractNumId="12">
    <w:nsid w:val="1F48EAA1"/>
    <w:multiLevelType w:val="hybridMultilevel"/>
    <w:lvl w:ilvl="0">
      <w:lvlJc w:val="left"/>
      <w:lvlText w:val="(%1)"/>
      <w:numFmt w:val="decimal"/>
      <w:start w:val="1"/>
    </w:lvl>
  </w:abstractNum>
  <w:abstractNum w:abstractNumId="13">
    <w:nsid w:val="1381823A"/>
    <w:multiLevelType w:val="hybridMultilevel"/>
    <w:lvl w:ilvl="0">
      <w:lvlJc w:val="left"/>
      <w:lvlText w:val="(%1)"/>
      <w:numFmt w:val="decimal"/>
      <w:start w:val="1"/>
    </w:lvl>
  </w:abstractNum>
  <w:abstractNum w:abstractNumId="14">
    <w:nsid w:val="5DB70AE5"/>
    <w:multiLevelType w:val="hybridMultilevel"/>
    <w:lvl w:ilvl="0">
      <w:lvlJc w:val="left"/>
      <w:lvlText w:val="•"/>
      <w:numFmt w:val="bullet"/>
      <w:start w:val="1"/>
    </w:lvl>
  </w:abstractNum>
  <w:abstractNum w:abstractNumId="15">
    <w:nsid w:val="100F8FCA"/>
    <w:multiLevelType w:val="hybridMultilevel"/>
    <w:lvl w:ilvl="0">
      <w:lvlJc w:val="left"/>
      <w:lvlText w:val="•"/>
      <w:numFmt w:val="bullet"/>
      <w:start w:val="1"/>
    </w:lvl>
  </w:abstractNum>
  <w:abstractNum w:abstractNumId="16">
    <w:nsid w:val="6590700B"/>
    <w:multiLevelType w:val="hybridMultilevel"/>
    <w:lvl w:ilvl="0">
      <w:lvlJc w:val="left"/>
      <w:lvlText w:val="(%1)"/>
      <w:numFmt w:val="decimal"/>
      <w:start w:val="1"/>
    </w:lvl>
  </w:abstractNum>
  <w:abstractNum w:abstractNumId="17">
    <w:nsid w:val="15014ACB"/>
    <w:multiLevelType w:val="hybridMultilevel"/>
    <w:lvl w:ilvl="0">
      <w:lvlJc w:val="left"/>
      <w:lvlText w:val="(%1)"/>
      <w:numFmt w:val="decimal"/>
      <w:start w:val="1"/>
    </w:lvl>
  </w:abstractNum>
  <w:abstractNum w:abstractNumId="18">
    <w:nsid w:val="5F5E7FD0"/>
    <w:multiLevelType w:val="hybridMultilevel"/>
    <w:lvl w:ilvl="0">
      <w:lvlJc w:val="left"/>
      <w:lvlText w:val="•"/>
      <w:numFmt w:val="bullet"/>
      <w:start w:val="1"/>
    </w:lvl>
  </w:abstractNum>
  <w:abstractNum w:abstractNumId="19">
    <w:nsid w:val="98A3148"/>
    <w:multiLevelType w:val="hybridMultilevel"/>
    <w:lvl w:ilvl="0">
      <w:lvlJc w:val="left"/>
      <w:lvlText w:val="•"/>
      <w:numFmt w:val="bullet"/>
      <w:start w:val="1"/>
    </w:lvl>
  </w:abstractNum>
  <w:abstractNum w:abstractNumId="20">
    <w:nsid w:val="799D0247"/>
    <w:multiLevelType w:val="hybridMultilevel"/>
    <w:lvl w:ilvl="0">
      <w:lvlJc w:val="left"/>
      <w:lvlText w:val="(%1)"/>
      <w:numFmt w:val="decimal"/>
      <w:start w:val="21"/>
    </w:lvl>
  </w:abstractNum>
  <w:abstractNum w:abstractNumId="21">
    <w:nsid w:val="6B94764"/>
    <w:multiLevelType w:val="hybridMultilevel"/>
    <w:lvl w:ilvl="0">
      <w:lvlJc w:val="left"/>
      <w:lvlText w:val="(%1)"/>
      <w:numFmt w:val="decimal"/>
      <w:start w:val="26"/>
    </w:lvl>
  </w:abstractNum>
  <w:abstractNum w:abstractNumId="22">
    <w:nsid w:val="42C296BD"/>
    <w:multiLevelType w:val="hybridMultilevel"/>
    <w:lvl w:ilvl="0">
      <w:lvlJc w:val="left"/>
      <w:lvlText w:val="(%1)"/>
      <w:numFmt w:val="decimal"/>
      <w:start w:val="2"/>
    </w:lvl>
  </w:abstractNum>
  <w:abstractNum w:abstractNumId="23">
    <w:nsid w:val="168E121F"/>
    <w:multiLevelType w:val="hybridMultilevel"/>
    <w:lvl w:ilvl="0">
      <w:lvlJc w:val="left"/>
      <w:lvlText w:val="(%1)"/>
      <w:numFmt w:val="decimal"/>
      <w:start w:val="5"/>
    </w:lvl>
  </w:abstractNum>
  <w:abstractNum w:abstractNumId="24">
    <w:nsid w:val="1EBA5D23"/>
    <w:multiLevelType w:val="hybridMultilevel"/>
    <w:lvl w:ilvl="0">
      <w:lvlJc w:val="left"/>
      <w:lvlText w:val="(%1)"/>
      <w:numFmt w:val="decimal"/>
      <w:start w:val="1"/>
    </w:lvl>
  </w:abstractNum>
  <w:abstractNum w:abstractNumId="25">
    <w:nsid w:val="661E3F1E"/>
    <w:multiLevelType w:val="hybridMultilevel"/>
    <w:lvl w:ilvl="0">
      <w:lvlJc w:val="left"/>
      <w:lvlText w:val="(%1)"/>
      <w:numFmt w:val="decimal"/>
      <w:start w:val="1"/>
    </w:lvl>
  </w:abstractNum>
  <w:abstractNum w:abstractNumId="26">
    <w:nsid w:val="5DC79EA8"/>
    <w:multiLevelType w:val="hybridMultilevel"/>
    <w:lvl w:ilvl="0">
      <w:lvlJc w:val="left"/>
      <w:lvlText w:val="•"/>
      <w:numFmt w:val="bullet"/>
      <w:start w:val="1"/>
    </w:lvl>
  </w:abstractNum>
  <w:abstractNum w:abstractNumId="27">
    <w:nsid w:val="540A471C"/>
    <w:multiLevelType w:val="hybridMultilevel"/>
    <w:lvl w:ilvl="0">
      <w:lvlJc w:val="left"/>
      <w:lvlText w:val="•"/>
      <w:numFmt w:val="bullet"/>
      <w:start w:val="1"/>
    </w:lvl>
  </w:abstractNum>
  <w:abstractNum w:abstractNumId="28">
    <w:nsid w:val="7BD3EE7B"/>
    <w:multiLevelType w:val="hybridMultilevel"/>
    <w:lvl w:ilvl="0">
      <w:lvlJc w:val="left"/>
      <w:lvlText w:val="•"/>
      <w:numFmt w:val="bullet"/>
      <w:start w:val="1"/>
    </w:lvl>
  </w:abstractNum>
  <w:abstractNum w:abstractNumId="29">
    <w:nsid w:val="51D9C564"/>
    <w:multiLevelType w:val="hybridMultilevel"/>
    <w:lvl w:ilvl="0">
      <w:lvlJc w:val="left"/>
      <w:lvlText w:val="•"/>
      <w:numFmt w:val="bullet"/>
      <w:start w:val="1"/>
    </w:lvl>
  </w:abstractNum>
  <w:abstractNum w:abstractNumId="30">
    <w:nsid w:val="613EFDC5"/>
    <w:multiLevelType w:val="hybridMultilevel"/>
    <w:lvl w:ilvl="0">
      <w:lvlJc w:val="left"/>
      <w:lvlText w:val="(%1)"/>
      <w:numFmt w:val="decimal"/>
      <w:start w:val="1"/>
    </w:lvl>
  </w:abstractNum>
  <w:abstractNum w:abstractNumId="31">
    <w:nsid w:val="BF72B14"/>
    <w:multiLevelType w:val="hybridMultilevel"/>
    <w:lvl w:ilvl="0">
      <w:lvlJc w:val="left"/>
      <w:lvlText w:val="✓"/>
      <w:numFmt w:val="bullet"/>
      <w:start w:val="1"/>
    </w:lvl>
  </w:abstractNum>
  <w:abstractNum w:abstractNumId="32">
    <w:nsid w:val="11447B73"/>
    <w:multiLevelType w:val="hybridMultilevel"/>
    <w:lvl w:ilvl="0">
      <w:lvlJc w:val="left"/>
      <w:lvlText w:val="✓"/>
      <w:numFmt w:val="bullet"/>
      <w:start w:val="1"/>
    </w:lvl>
  </w:abstractNum>
  <w:abstractNum w:abstractNumId="33">
    <w:nsid w:val="42963E5A"/>
    <w:multiLevelType w:val="hybridMultilevel"/>
    <w:lvl w:ilvl="0">
      <w:lvlJc w:val="left"/>
      <w:lvlText w:val="×"/>
      <w:numFmt w:val="bullet"/>
      <w:start w:val="1"/>
    </w:lvl>
  </w:abstractNum>
  <w:abstractNum w:abstractNumId="34">
    <w:nsid w:val="A0382C5"/>
    <w:multiLevelType w:val="hybridMultilevel"/>
    <w:lvl w:ilvl="0">
      <w:lvlJc w:val="left"/>
      <w:lvlText w:val="•"/>
      <w:numFmt w:val="bullet"/>
      <w:start w:val="1"/>
    </w:lvl>
  </w:abstractNum>
  <w:abstractNum w:abstractNumId="35">
    <w:nsid w:val="8F2B15E"/>
    <w:multiLevelType w:val="hybridMultilevel"/>
    <w:lvl w:ilvl="0">
      <w:lvlJc w:val="left"/>
      <w:lvlText w:val="•"/>
      <w:numFmt w:val="bullet"/>
      <w:start w:val="1"/>
    </w:lvl>
  </w:abstractNum>
  <w:abstractNum w:abstractNumId="36">
    <w:nsid w:val="1A32234B"/>
    <w:multiLevelType w:val="hybridMultilevel"/>
    <w:lvl w:ilvl="0">
      <w:lvlJc w:val="left"/>
      <w:lvlText w:val="✓"/>
      <w:numFmt w:val="bullet"/>
      <w:start w:val="1"/>
    </w:lvl>
  </w:abstractNum>
  <w:abstractNum w:abstractNumId="37">
    <w:nsid w:val="3B0FD379"/>
    <w:multiLevelType w:val="hybridMultilevel"/>
    <w:lvl w:ilvl="0">
      <w:lvlJc w:val="left"/>
      <w:lvlText w:val="•"/>
      <w:numFmt w:val="bullet"/>
      <w:start w:val="1"/>
    </w:lvl>
  </w:abstractNum>
  <w:abstractNum w:abstractNumId="38">
    <w:nsid w:val="68EB2F63"/>
    <w:multiLevelType w:val="hybridMultilevel"/>
    <w:lvl w:ilvl="0">
      <w:lvlJc w:val="left"/>
      <w:lvlText w:val="(%1)"/>
      <w:numFmt w:val="lowerRoman"/>
      <w:start w:val="1"/>
    </w:lvl>
  </w:abstractNum>
  <w:abstractNum w:abstractNumId="39">
    <w:nsid w:val="4962813B"/>
    <w:multiLevelType w:val="hybridMultilevel"/>
    <w:lvl w:ilvl="0">
      <w:lvlJc w:val="left"/>
      <w:lvlText w:val="(%1)"/>
      <w:numFmt w:val="lowerRoman"/>
      <w:start w:val="2"/>
    </w:lvl>
  </w:abstractNum>
  <w:abstractNum w:abstractNumId="40">
    <w:nsid w:val="60B6DF70"/>
    <w:multiLevelType w:val="hybridMultilevel"/>
    <w:lvl w:ilvl="0">
      <w:lvlJc w:val="left"/>
      <w:lvlText w:val="•"/>
      <w:numFmt w:val="bullet"/>
      <w:start w:val="1"/>
    </w:lvl>
  </w:abstractNum>
  <w:abstractNum w:abstractNumId="41">
    <w:nsid w:val="6A5EE64"/>
    <w:multiLevelType w:val="hybridMultilevel"/>
    <w:lvl w:ilvl="0">
      <w:lvlJc w:val="left"/>
      <w:lvlText w:val="*"/>
      <w:numFmt w:val="bullet"/>
      <w:start w:val="1"/>
    </w:lvl>
  </w:abstractNum>
  <w:abstractNum w:abstractNumId="42">
    <w:nsid w:val="14330624"/>
    <w:multiLevelType w:val="hybridMultilevel"/>
    <w:lvl w:ilvl="0">
      <w:lvlJc w:val="left"/>
      <w:lvlText w:val="•"/>
      <w:numFmt w:val="bullet"/>
      <w:start w:val="1"/>
    </w:lvl>
  </w:abstractNum>
  <w:abstractNum w:abstractNumId="43">
    <w:nsid w:val="7FFFCA11"/>
    <w:multiLevelType w:val="hybridMultilevel"/>
    <w:lvl w:ilvl="0">
      <w:lvlJc w:val="left"/>
      <w:lvlText w:val="*"/>
      <w:numFmt w:val="bullet"/>
      <w:start w:val="1"/>
    </w:lvl>
  </w:abstractNum>
  <w:abstractNum w:abstractNumId="44">
    <w:nsid w:val="1A27709E"/>
    <w:multiLevelType w:val="hybridMultilevel"/>
    <w:lvl w:ilvl="0">
      <w:lvlJc w:val="left"/>
      <w:lvlText w:val="(%1)"/>
      <w:numFmt w:val="decimal"/>
      <w:start w:val="1"/>
    </w:lvl>
  </w:abstractNum>
  <w:abstractNum w:abstractNumId="45">
    <w:nsid w:val="71EA1109"/>
    <w:multiLevelType w:val="hybridMultilevel"/>
    <w:lvl w:ilvl="0">
      <w:lvlJc w:val="left"/>
      <w:lvlText w:val="(%1)"/>
      <w:numFmt w:val="decimal"/>
      <w:start w:val="1"/>
    </w:lvl>
  </w:abstractNum>
  <w:abstractNum w:abstractNumId="46">
    <w:nsid w:val="100F59DC"/>
    <w:multiLevelType w:val="hybridMultilevel"/>
    <w:lvl w:ilvl="0">
      <w:lvlJc w:val="left"/>
      <w:lvlText w:val="(%1)"/>
      <w:numFmt w:val="decimal"/>
      <w:start w:val="1"/>
    </w:lvl>
  </w:abstractNum>
  <w:abstractNum w:abstractNumId="47">
    <w:nsid w:val="7FB7E0AA"/>
    <w:multiLevelType w:val="hybridMultilevel"/>
    <w:lvl w:ilvl="0">
      <w:lvlJc w:val="left"/>
      <w:lvlText w:val="(%1)"/>
      <w:numFmt w:val="decimal"/>
      <w:start w:val="2"/>
    </w:lvl>
  </w:abstractNum>
  <w:abstractNum w:abstractNumId="48">
    <w:nsid w:val="6EB5BD4"/>
    <w:multiLevelType w:val="hybridMultilevel"/>
    <w:lvl w:ilvl="0">
      <w:lvlJc w:val="left"/>
      <w:lvlText w:val="(%1)"/>
      <w:numFmt w:val="lowerRoman"/>
      <w:start w:val="2"/>
    </w:lvl>
  </w:abstractNum>
  <w:abstractNum w:abstractNumId="49">
    <w:nsid w:val="6F6DD9AC"/>
    <w:multiLevelType w:val="hybridMultilevel"/>
    <w:lvl w:ilvl="0">
      <w:lvlJc w:val="left"/>
      <w:lvlText w:val="(%1)"/>
      <w:numFmt w:val="lowerRoman"/>
      <w:start w:val="3"/>
    </w:lvl>
  </w:abstractNum>
  <w:abstractNum w:abstractNumId="50">
    <w:nsid w:val="94211F2"/>
    <w:multiLevelType w:val="hybridMultilevel"/>
    <w:lvl w:ilvl="0">
      <w:lvlJc w:val="left"/>
      <w:lvlText w:val="(%1)"/>
      <w:numFmt w:val="decimal"/>
      <w:start w:val="1"/>
    </w:lvl>
  </w:abstractNum>
  <w:abstractNum w:abstractNumId="51">
    <w:nsid w:val="885E1B"/>
    <w:multiLevelType w:val="hybridMultilevel"/>
    <w:lvl w:ilvl="0">
      <w:lvlJc w:val="left"/>
      <w:lvlText w:val="(%1)"/>
      <w:numFmt w:val="decimal"/>
      <w:start w:val="1"/>
    </w:lvl>
  </w:abstractNum>
  <w:abstractNum w:abstractNumId="52">
    <w:nsid w:val="76272110"/>
    <w:multiLevelType w:val="hybridMultilevel"/>
    <w:lvl w:ilvl="0">
      <w:lvlJc w:val="left"/>
      <w:lvlText w:val="(%1)"/>
      <w:numFmt w:val="decimal"/>
      <w:start w:val="1"/>
    </w:lvl>
  </w:abstractNum>
  <w:abstractNum w:abstractNumId="53">
    <w:nsid w:val="4C04A8AF"/>
    <w:multiLevelType w:val="hybridMultilevel"/>
    <w:lvl w:ilvl="0">
      <w:lvlJc w:val="left"/>
      <w:lvlText w:val="(%1)"/>
      <w:numFmt w:val="decimal"/>
      <w:start w:val="1"/>
    </w:lvl>
  </w:abstractNum>
  <w:abstractNum w:abstractNumId="54">
    <w:nsid w:val="1716703B"/>
    <w:multiLevelType w:val="hybridMultilevel"/>
    <w:lvl w:ilvl="0">
      <w:lvlJc w:val="left"/>
      <w:lvlText w:val="(%1)"/>
      <w:numFmt w:val="decimal"/>
      <w:start w:val="1"/>
    </w:lvl>
  </w:abstractNum>
  <w:abstractNum w:abstractNumId="55">
    <w:nsid w:val="14E17E33"/>
    <w:multiLevelType w:val="hybridMultilevel"/>
    <w:lvl w:ilvl="0">
      <w:lvlJc w:val="left"/>
      <w:lvlText w:val="(%1)"/>
      <w:numFmt w:val="decimal"/>
      <w:start w:val="1"/>
    </w:lvl>
  </w:abstractNum>
  <w:abstractNum w:abstractNumId="56">
    <w:nsid w:val="3222E7CD"/>
    <w:multiLevelType w:val="hybridMultilevel"/>
    <w:lvl w:ilvl="0">
      <w:lvlJc w:val="left"/>
      <w:lvlText w:val="•"/>
      <w:numFmt w:val="bullet"/>
      <w:start w:val="1"/>
    </w:lvl>
  </w:abstractNum>
  <w:abstractNum w:abstractNumId="57">
    <w:nsid w:val="74DE0EE3"/>
    <w:multiLevelType w:val="hybridMultilevel"/>
    <w:lvl w:ilvl="0">
      <w:lvlJc w:val="left"/>
      <w:lvlText w:val="•"/>
      <w:numFmt w:val="bullet"/>
      <w:start w:val="1"/>
    </w:lvl>
  </w:abstractNum>
  <w:abstractNum w:abstractNumId="58">
    <w:nsid w:val="68EBC550"/>
    <w:multiLevelType w:val="hybridMultilevel"/>
    <w:lvl w:ilvl="0">
      <w:lvlJc w:val="left"/>
      <w:lvlText w:val="(%1)"/>
      <w:numFmt w:val="decimal"/>
      <w:start w:val="1"/>
    </w:lvl>
  </w:abstractNum>
  <w:abstractNum w:abstractNumId="59">
    <w:nsid w:val="2DF6D648"/>
    <w:multiLevelType w:val="hybridMultilevel"/>
    <w:lvl w:ilvl="0">
      <w:lvlJc w:val="left"/>
      <w:lvlText w:val="$"/>
      <w:numFmt w:val="bullet"/>
      <w:start w:val="1"/>
    </w:lvl>
  </w:abstractNum>
  <w:abstractNum w:abstractNumId="60">
    <w:nsid w:val="46B7D447"/>
    <w:multiLevelType w:val="hybridMultilevel"/>
    <w:lvl w:ilvl="0">
      <w:lvlJc w:val="left"/>
      <w:lvlText w:val="$"/>
      <w:numFmt w:val="bullet"/>
      <w:start w:val="1"/>
    </w:lvl>
  </w:abstractNum>
  <w:abstractNum w:abstractNumId="61">
    <w:nsid w:val="4A2AC315"/>
    <w:multiLevelType w:val="hybridMultilevel"/>
    <w:lvl w:ilvl="0">
      <w:lvlJc w:val="left"/>
      <w:lvlText w:val="(%1)"/>
      <w:numFmt w:val="decimal"/>
      <w:start w:val="3"/>
    </w:lvl>
  </w:abstractNum>
  <w:abstractNum w:abstractNumId="62">
    <w:nsid w:val="39EE015C"/>
    <w:multiLevelType w:val="hybridMultilevel"/>
    <w:lvl w:ilvl="0">
      <w:lvlJc w:val="left"/>
      <w:lvlText w:val="(%1)"/>
      <w:numFmt w:val="decimal"/>
      <w:start w:val="4"/>
    </w:lvl>
  </w:abstractNum>
  <w:abstractNum w:abstractNumId="63">
    <w:nsid w:val="57FC4FBB"/>
    <w:multiLevelType w:val="hybridMultilevel"/>
    <w:lvl w:ilvl="0">
      <w:lvlJc w:val="left"/>
      <w:lvlText w:val="(%1)"/>
      <w:numFmt w:val="decimal"/>
      <w:start w:val="5"/>
    </w:lvl>
  </w:abstractNum>
  <w:abstractNum w:abstractNumId="64">
    <w:nsid w:val="CC1016F"/>
    <w:multiLevelType w:val="hybridMultilevel"/>
    <w:lvl w:ilvl="0">
      <w:lvlJc w:val="left"/>
      <w:lvlText w:val="•"/>
      <w:numFmt w:val="bullet"/>
      <w:start w:val="1"/>
    </w:lvl>
  </w:abstractNum>
  <w:abstractNum w:abstractNumId="65">
    <w:nsid w:val="43F18422"/>
    <w:multiLevelType w:val="hybridMultilevel"/>
    <w:lvl w:ilvl="0">
      <w:lvlJc w:val="left"/>
      <w:lvlText w:val="•"/>
      <w:numFmt w:val="bullet"/>
      <w:start w:val="1"/>
    </w:lvl>
  </w:abstractNum>
  <w:abstractNum w:abstractNumId="66">
    <w:nsid w:val="60EF0119"/>
    <w:multiLevelType w:val="hybridMultilevel"/>
    <w:lvl w:ilvl="0">
      <w:lvlJc w:val="left"/>
      <w:lvlText w:val="(%1)"/>
      <w:numFmt w:val="decimal"/>
      <w:start w:val="1"/>
    </w:lvl>
  </w:abstractNum>
  <w:abstractNum w:abstractNumId="67">
    <w:nsid w:val="26F324BA"/>
    <w:multiLevelType w:val="hybridMultilevel"/>
    <w:lvl w:ilvl="0">
      <w:lvlJc w:val="left"/>
      <w:lvlText w:val="%1."/>
      <w:numFmt w:val="decimal"/>
      <w:start w:val="1"/>
    </w:lvl>
    <w:lvl w:ilvl="1">
      <w:lvlJc w:val="left"/>
      <w:lvlText w:val="(%2)"/>
      <w:numFmt w:val="lowerLetter"/>
      <w:start w:val="1"/>
    </w:lvl>
  </w:abstractNum>
  <w:abstractNum w:abstractNumId="68">
    <w:nsid w:val="7F01579B"/>
    <w:multiLevelType w:val="hybridMultilevel"/>
    <w:lvl w:ilvl="0">
      <w:lvlJc w:val="left"/>
      <w:lvlText w:val="(%1)"/>
      <w:numFmt w:val="lowerLetter"/>
      <w:start w:val="61"/>
    </w:lvl>
    <w:lvl w:ilvl="1">
      <w:lvlJc w:val="left"/>
      <w:lvlText w:val="(%2)"/>
      <w:numFmt w:val="lowerLetter"/>
      <w:start w:val="4"/>
    </w:lvl>
  </w:abstractNum>
  <w:abstractNum w:abstractNumId="69">
    <w:nsid w:val="49DA307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70">
    <w:nsid w:val="7055A5F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2"/>
    </w:lvl>
  </w:abstractNum>
  <w:abstractNum w:abstractNumId="71">
    <w:nsid w:val="5FB8370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72">
    <w:nsid w:val="50801EE1"/>
    <w:multiLevelType w:val="hybridMultilevel"/>
    <w:lvl w:ilvl="0">
      <w:lvlJc w:val="left"/>
      <w:lvlText w:val="%1."/>
      <w:numFmt w:val="decimal"/>
      <w:start w:val="4"/>
    </w:lvl>
  </w:abstractNum>
  <w:abstractNum w:abstractNumId="73">
    <w:nsid w:val="488AC1A"/>
    <w:multiLevelType w:val="hybridMultilevel"/>
    <w:lvl w:ilvl="0">
      <w:lvlJc w:val="left"/>
      <w:lvlText w:val="(%1)"/>
      <w:numFmt w:val="lowerLetter"/>
      <w:start w:val="1"/>
    </w:lvl>
    <w:lvl w:ilvl="1">
      <w:lvlJc w:val="left"/>
      <w:lvlText w:val="(%2)"/>
      <w:numFmt w:val="lowerRoman"/>
      <w:start w:val="1"/>
    </w:lvl>
  </w:abstractNum>
  <w:abstractNum w:abstractNumId="74">
    <w:nsid w:val="5FB8011C"/>
    <w:multiLevelType w:val="hybridMultilevel"/>
    <w:lvl w:ilvl="0">
      <w:lvlJc w:val="left"/>
      <w:lvlText w:val="%1"/>
      <w:numFmt w:val="lowerLetter"/>
      <w:start w:val="1"/>
    </w:lvl>
    <w:lvl w:ilvl="1">
      <w:lvlJc w:val="left"/>
      <w:lvlText w:val="(%2)"/>
      <w:numFmt w:val="lowerRoman"/>
      <w:start w:val="1"/>
    </w:lvl>
  </w:abstractNum>
  <w:abstractNum w:abstractNumId="75">
    <w:nsid w:val="6AA78F7F"/>
    <w:multiLevelType w:val="hybridMultilevel"/>
    <w:lvl w:ilvl="0">
      <w:lvlJc w:val="left"/>
      <w:lvlText w:val="(%1)"/>
      <w:numFmt w:val="lowerLetter"/>
      <w:start w:val="6"/>
    </w:lvl>
    <w:lvl w:ilvl="1">
      <w:lvlJc w:val="left"/>
      <w:lvlText w:val="(%2)"/>
      <w:numFmt w:val="lowerRoman"/>
      <w:start w:val="1"/>
    </w:lvl>
  </w:abstractNum>
  <w:abstractNum w:abstractNumId="76">
    <w:nsid w:val="7672BD23"/>
    <w:multiLevelType w:val="hybridMultilevel"/>
    <w:lvl w:ilvl="0">
      <w:lvlJc w:val="left"/>
      <w:lvlText w:val="%1"/>
      <w:numFmt w:val="lowerLetter"/>
      <w:start w:val="1"/>
    </w:lvl>
    <w:lvl w:ilvl="1">
      <w:lvlJc w:val="left"/>
      <w:lvlText w:val="(%2)"/>
      <w:numFmt w:val="lowerLetter"/>
      <w:start w:val="9"/>
    </w:lvl>
  </w:abstractNum>
  <w:abstractNum w:abstractNumId="77">
    <w:nsid w:val="6FC75AF8"/>
    <w:multiLevelType w:val="hybridMultilevel"/>
    <w:lvl w:ilvl="0">
      <w:lvlJc w:val="left"/>
      <w:lvlText w:val="(%1)"/>
      <w:numFmt w:val="lowerLetter"/>
      <w:start w:val="35"/>
    </w:lvl>
    <w:lvl w:ilvl="1">
      <w:lvlJc w:val="left"/>
      <w:lvlText w:val="%2"/>
      <w:numFmt w:val="lowerLetter"/>
      <w:start w:val="1"/>
    </w:lvl>
  </w:abstractNum>
  <w:abstractNum w:abstractNumId="78">
    <w:nsid w:val="6A5F7029"/>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lvl w:ilvl="3">
      <w:lvlJc w:val="left"/>
      <w:lvlText w:val="%4"/>
      <w:numFmt w:val="decimal"/>
      <w:start w:val="1"/>
    </w:lvl>
  </w:abstractNum>
  <w:abstractNum w:abstractNumId="79">
    <w:nsid w:val="7D5E18F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80">
    <w:nsid w:val="5F3534A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1">
    <w:nsid w:val="73A1821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82">
    <w:nsid w:val="7DE6771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83">
    <w:nsid w:val="555C55B5"/>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84">
    <w:nsid w:val="3FA62AC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9"/>
    </w:lvl>
  </w:abstractNum>
  <w:abstractNum w:abstractNumId="85">
    <w:nsid w:val="14FCE74E"/>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86">
    <w:nsid w:val="6A3DD3E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87">
    <w:nsid w:val="71C91298"/>
    <w:multiLevelType w:val="hybridMultilevel"/>
    <w:lvl w:ilvl="0">
      <w:lvlJc w:val="left"/>
      <w:lvlText w:val="%1."/>
      <w:numFmt w:val="decimal"/>
      <w:start w:val="8"/>
    </w:lvl>
    <w:lvl w:ilvl="1">
      <w:lvlJc w:val="left"/>
      <w:lvlText w:val="(%2)"/>
      <w:numFmt w:val="lowerLetter"/>
      <w:start w:val="1"/>
    </w:lvl>
  </w:abstractNum>
  <w:abstractNum w:abstractNumId="88">
    <w:nsid w:val="9DAF632"/>
    <w:multiLevelType w:val="hybridMultilevel"/>
    <w:lvl w:ilvl="0">
      <w:lvlJc w:val="left"/>
      <w:lvlText w:val="(%1)"/>
      <w:numFmt w:val="lowerLetter"/>
      <w:start w:val="2"/>
    </w:lvl>
  </w:abstractNum>
  <w:abstractNum w:abstractNumId="89">
    <w:nsid w:val="53299938"/>
    <w:multiLevelType w:val="hybridMultilevel"/>
    <w:lvl w:ilvl="0">
      <w:lvlJc w:val="left"/>
      <w:lvlText w:val="(%1)"/>
      <w:numFmt w:val="lowerLetter"/>
      <w:start w:val="9"/>
    </w:lvl>
    <w:lvl w:ilvl="1">
      <w:lvlJc w:val="left"/>
      <w:lvlText w:val="(%2)"/>
      <w:numFmt w:val="lowerLetter"/>
      <w:start w:val="4"/>
    </w:lvl>
  </w:abstractNum>
  <w:abstractNum w:abstractNumId="90">
    <w:nsid w:val="1FBFE8E0"/>
    <w:multiLevelType w:val="hybridMultilevel"/>
    <w:lvl w:ilvl="0">
      <w:lvlJc w:val="left"/>
      <w:lvlText w:val="%1."/>
      <w:numFmt w:val="decimal"/>
      <w:start w:val="9"/>
    </w:lvl>
    <w:lvl w:ilvl="1">
      <w:lvlJc w:val="left"/>
      <w:lvlText w:val="(%2)"/>
      <w:numFmt w:val="lowerLetter"/>
      <w:start w:val="1"/>
    </w:lvl>
  </w:abstractNum>
  <w:abstractNum w:abstractNumId="91">
    <w:nsid w:val="5092CA79"/>
    <w:multiLevelType w:val="hybridMultilevel"/>
    <w:lvl w:ilvl="0">
      <w:lvlJc w:val="left"/>
      <w:lvlText w:val="(%1)"/>
      <w:numFmt w:val="lowerLetter"/>
      <w:start w:val="7"/>
    </w:lvl>
  </w:abstractNum>
  <w:abstractNum w:abstractNumId="92">
    <w:nsid w:val="1D545C4D"/>
    <w:multiLevelType w:val="hybridMultilevel"/>
    <w:lvl w:ilvl="0">
      <w:lvlJc w:val="left"/>
      <w:lvlText w:val="%1"/>
      <w:numFmt w:val="decimal"/>
      <w:start w:val="1"/>
    </w:lvl>
    <w:lvl w:ilvl="1">
      <w:lvlJc w:val="left"/>
      <w:lvlText w:val="(%2)"/>
      <w:numFmt w:val="lowerLetter"/>
      <w:start w:val="16"/>
    </w:lvl>
    <w:lvl w:ilvl="2">
      <w:lvlJc w:val="left"/>
      <w:lvlText w:val="%3"/>
      <w:numFmt w:val="lowerRoman"/>
      <w:start w:val="1"/>
    </w:lvl>
    <w:lvl w:ilvl="3">
      <w:lvlJc w:val="left"/>
      <w:lvlText w:val="%4"/>
      <w:numFmt w:val="decimal"/>
      <w:start w:val="1"/>
    </w:lvl>
  </w:abstractNum>
  <w:abstractNum w:abstractNumId="93">
    <w:nsid w:val="59ADEA3D"/>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94">
    <w:nsid w:val="288F1A34"/>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95">
    <w:nsid w:val="2A155DBC"/>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96">
    <w:nsid w:val="1D9F6E5F"/>
    <w:multiLevelType w:val="hybridMultilevel"/>
    <w:lvl w:ilvl="0">
      <w:lvlJc w:val="left"/>
      <w:lvlText w:val="(%1)"/>
      <w:numFmt w:val="lowerLetter"/>
      <w:start w:val="4"/>
    </w:lvl>
    <w:lvl w:ilvl="1">
      <w:lvlJc w:val="left"/>
      <w:lvlText w:val="(%2)"/>
      <w:numFmt w:val="lowerLetter"/>
      <w:start w:val="9"/>
    </w:lvl>
    <w:lvl w:ilvl="2">
      <w:lvlJc w:val="left"/>
      <w:lvlText w:val="%3"/>
      <w:numFmt w:val="decimal"/>
      <w:start w:val="1"/>
    </w:lvl>
  </w:abstractNum>
  <w:abstractNum w:abstractNumId="97">
    <w:nsid w:val="97E1B4E"/>
    <w:multiLevelType w:val="hybridMultilevel"/>
    <w:lvl w:ilvl="0">
      <w:lvlJc w:val="left"/>
      <w:lvlText w:val="%1"/>
      <w:numFmt w:val="lowerLetter"/>
      <w:start w:val="1"/>
    </w:lvl>
    <w:lvl w:ilvl="1">
      <w:lvlJc w:val="left"/>
      <w:lvlText w:val="(%2)"/>
      <w:numFmt w:val="lowerLetter"/>
      <w:start w:val="35"/>
    </w:lvl>
  </w:abstractNum>
  <w:abstractNum w:abstractNumId="98">
    <w:nsid w:val="51088277"/>
    <w:multiLevelType w:val="hybridMultilevel"/>
    <w:lvl w:ilvl="0">
      <w:lvlJc w:val="left"/>
      <w:lvlText w:val="(%1)"/>
      <w:numFmt w:val="lowerLetter"/>
      <w:start w:val="5"/>
    </w:lvl>
    <w:lvl w:ilvl="1">
      <w:lvlJc w:val="left"/>
      <w:lvlText w:val="(%2)"/>
      <w:numFmt w:val="lowerLetter"/>
      <w:start w:val="9"/>
    </w:lvl>
  </w:abstractNum>
  <w:abstractNum w:abstractNumId="99">
    <w:nsid w:val="1CA0C5FA"/>
    <w:multiLevelType w:val="hybridMultilevel"/>
    <w:lvl w:ilvl="0">
      <w:lvlJc w:val="left"/>
      <w:lvlText w:val="%1"/>
      <w:numFmt w:val="decimal"/>
      <w:start w:val="1"/>
    </w:lvl>
    <w:lvl w:ilvl="1">
      <w:lvlJc w:val="left"/>
      <w:lvlText w:val="(%2)"/>
      <w:numFmt w:val="lowerRoman"/>
      <w:start w:val="2"/>
    </w:lvl>
  </w:abstractNum>
  <w:abstractNum w:abstractNumId="100">
    <w:nsid w:val="53584BCB"/>
    <w:multiLevelType w:val="hybridMultilevel"/>
    <w:lvl w:ilvl="0">
      <w:lvlJc w:val="left"/>
      <w:lvlText w:val="%1."/>
      <w:numFmt w:val="decimal"/>
      <w:start w:val="12"/>
    </w:lvl>
    <w:lvl w:ilvl="1">
      <w:lvlJc w:val="left"/>
      <w:lvlText w:val="%2"/>
      <w:numFmt w:val="lowerRoman"/>
      <w:start w:val="1"/>
    </w:lvl>
  </w:abstractNum>
  <w:abstractNum w:abstractNumId="101">
    <w:nsid w:val="415E286C"/>
    <w:multiLevelType w:val="hybridMultilevel"/>
    <w:lvl w:ilvl="0">
      <w:lvlJc w:val="left"/>
      <w:lvlText w:val="%1."/>
      <w:numFmt w:val="decimal"/>
      <w:start w:val="13"/>
    </w:lvl>
  </w:abstractNum>
  <w:abstractNum w:abstractNumId="102">
    <w:nsid w:val="7C58FD05"/>
    <w:multiLevelType w:val="hybridMultilevel"/>
    <w:lvl w:ilvl="0">
      <w:lvlJc w:val="left"/>
      <w:lvlText w:val="%1."/>
      <w:numFmt w:val="decimal"/>
      <w:start w:val="14"/>
    </w:lvl>
  </w:abstractNum>
  <w:abstractNum w:abstractNumId="103">
    <w:nsid w:val="23D86AAC"/>
    <w:multiLevelType w:val="hybridMultilevel"/>
    <w:lvl w:ilvl="0">
      <w:lvlJc w:val="left"/>
      <w:lvlText w:val="(%1)"/>
      <w:numFmt w:val="lowerLetter"/>
      <w:start w:val="1"/>
    </w:lvl>
  </w:abstractNum>
  <w:abstractNum w:abstractNumId="104">
    <w:nsid w:val="45E6D486"/>
    <w:multiLevelType w:val="hybridMultilevel"/>
    <w:lvl w:ilvl="0">
      <w:lvlJc w:val="left"/>
      <w:lvlText w:val="(%1)"/>
      <w:numFmt w:val="lowerLetter"/>
      <w:start w:val="9"/>
    </w:lvl>
    <w:lvl w:ilvl="1">
      <w:lvlJc w:val="left"/>
      <w:lvlText w:val="(%2)"/>
      <w:numFmt w:val="lowerRoman"/>
      <w:start w:val="1"/>
    </w:lvl>
  </w:abstractNum>
  <w:abstractNum w:abstractNumId="105">
    <w:nsid w:val="5C10FE21"/>
    <w:multiLevelType w:val="hybridMultilevel"/>
    <w:lvl w:ilvl="0">
      <w:lvlJc w:val="left"/>
      <w:lvlText w:val="(%1)"/>
      <w:numFmt w:val="lowerRoman"/>
      <w:start w:val="5"/>
    </w:lvl>
  </w:abstractNum>
  <w:abstractNum w:abstractNumId="106">
    <w:nsid w:val="E7FFA2B"/>
    <w:multiLevelType w:val="hybridMultilevel"/>
    <w:lvl w:ilvl="0">
      <w:lvlJc w:val="left"/>
      <w:lvlText w:val="(%1)"/>
      <w:numFmt w:val="lowerLetter"/>
      <w:start w:val="13"/>
    </w:lvl>
    <w:lvl w:ilvl="1">
      <w:lvlJc w:val="left"/>
      <w:lvlText w:val="(%2)"/>
      <w:numFmt w:val="lowerRoman"/>
      <w:start w:val="1"/>
    </w:lvl>
  </w:abstractNum>
  <w:abstractNum w:abstractNumId="107">
    <w:nsid w:val="3C5991AA"/>
    <w:multiLevelType w:val="hybridMultilevel"/>
    <w:lvl w:ilvl="0">
      <w:lvlJc w:val="left"/>
      <w:lvlText w:val="(%1)"/>
      <w:numFmt w:val="lowerLetter"/>
      <w:start w:val="21"/>
    </w:lvl>
  </w:abstractNum>
  <w:abstractNum w:abstractNumId="108">
    <w:nsid w:val="4BD8591A"/>
    <w:multiLevelType w:val="hybridMultilevel"/>
    <w:lvl w:ilvl="0">
      <w:lvlJc w:val="left"/>
      <w:lvlText w:val="(%1)"/>
      <w:numFmt w:val="lowerLetter"/>
      <w:start w:val="27"/>
    </w:lvl>
    <w:lvl w:ilvl="1">
      <w:lvlJc w:val="left"/>
      <w:lvlText w:val="(%2)"/>
      <w:numFmt w:val="lowerRoman"/>
      <w:start w:val="1"/>
    </w:lvl>
  </w:abstractNum>
  <w:abstractNum w:abstractNumId="109">
    <w:nsid w:val="78DF6A55"/>
    <w:multiLevelType w:val="hybridMultilevel"/>
    <w:lvl w:ilvl="0">
      <w:lvlJc w:val="left"/>
      <w:lvlText w:val="(%1)"/>
      <w:numFmt w:val="lowerLetter"/>
      <w:start w:val="35"/>
    </w:lvl>
  </w:abstractNum>
  <w:abstractNum w:abstractNumId="110">
    <w:nsid w:val="39B7AAA2"/>
    <w:multiLevelType w:val="hybridMultilevel"/>
    <w:lvl w:ilvl="0">
      <w:lvlJc w:val="left"/>
      <w:lvlText w:val="%1"/>
      <w:numFmt w:val="decimal"/>
      <w:start w:val="1"/>
    </w:lvl>
    <w:lvl w:ilvl="1">
      <w:lvlJc w:val="left"/>
      <w:lvlText w:val="(%2)"/>
      <w:numFmt w:val="lowerLetter"/>
      <w:start w:val="49"/>
    </w:lvl>
  </w:abstractNum>
  <w:abstractNum w:abstractNumId="111">
    <w:nsid w:val="2B0D8DBE"/>
    <w:multiLevelType w:val="hybridMultilevel"/>
    <w:lvl w:ilvl="0">
      <w:lvlJc w:val="left"/>
      <w:lvlText w:val="(%1)"/>
      <w:numFmt w:val="decimal"/>
      <w:start w:val="5"/>
    </w:lvl>
    <w:lvl w:ilvl="1">
      <w:lvlJc w:val="left"/>
      <w:lvlText w:val="%2"/>
      <w:numFmt w:val="lowerLetter"/>
      <w:start w:val="1"/>
    </w:lvl>
  </w:abstractNum>
  <w:abstractNum w:abstractNumId="112">
    <w:nsid w:val="6C80EC70"/>
    <w:multiLevelType w:val="hybridMultilevel"/>
    <w:lvl w:ilvl="0">
      <w:lvlJc w:val="left"/>
      <w:lvlText w:val="(%1)"/>
      <w:numFmt w:val="decimal"/>
      <w:start w:val="19"/>
    </w:lvl>
    <w:lvl w:ilvl="1">
      <w:lvlJc w:val="left"/>
      <w:lvlText w:val="%2"/>
      <w:numFmt w:val="lowerLetter"/>
      <w:start w:val="1"/>
    </w:lvl>
  </w:abstractNum>
  <w:abstractNum w:abstractNumId="113">
    <w:nsid w:val="379E21B5"/>
    <w:multiLevelType w:val="hybridMultilevel"/>
    <w:lvl w:ilvl="0">
      <w:lvlJc w:val="left"/>
      <w:lvlText w:val="(%1)"/>
      <w:numFmt w:val="decimal"/>
      <w:start w:val="24"/>
    </w:lvl>
    <w:lvl w:ilvl="1">
      <w:lvlJc w:val="left"/>
      <w:lvlText w:val="%2"/>
      <w:numFmt w:val="lowerLetter"/>
      <w:start w:val="1"/>
    </w:lvl>
  </w:abstractNum>
  <w:abstractNum w:abstractNumId="114">
    <w:nsid w:val="69E373"/>
    <w:multiLevelType w:val="hybridMultilevel"/>
    <w:lvl w:ilvl="0">
      <w:lvlJc w:val="left"/>
      <w:lvlText w:val="(%1)"/>
      <w:numFmt w:val="decimal"/>
      <w:start w:val="35"/>
    </w:lvl>
    <w:lvl w:ilvl="1">
      <w:lvlJc w:val="left"/>
      <w:lvlText w:val="%2"/>
      <w:numFmt w:val="lowerLetter"/>
      <w:start w:val="1"/>
    </w:lvl>
  </w:abstractNum>
  <w:abstractNum w:abstractNumId="115">
    <w:nsid w:val="2C27173B"/>
    <w:multiLevelType w:val="hybridMultilevel"/>
    <w:lvl w:ilvl="0">
      <w:lvlJc w:val="left"/>
      <w:lvlText w:val="(%1)"/>
      <w:numFmt w:val="decimal"/>
      <w:start w:val="39"/>
    </w:lvl>
    <w:lvl w:ilvl="1">
      <w:lvlJc w:val="left"/>
      <w:lvlText w:val="(%2)"/>
      <w:numFmt w:val="lowerLetter"/>
      <w:start w:val="50"/>
    </w:lvl>
  </w:abstractNum>
  <w:abstractNum w:abstractNumId="116">
    <w:nsid w:val="4C9B0904"/>
    <w:multiLevelType w:val="hybridMultilevel"/>
    <w:lvl w:ilvl="0">
      <w:lvlJc w:val="left"/>
      <w:lvlText w:val="(%1)"/>
      <w:numFmt w:val="lowerLetter"/>
      <w:start w:val="53"/>
    </w:lvl>
  </w:abstractNum>
  <w:abstractNum w:abstractNumId="117">
    <w:nsid w:val="6AA7B75C"/>
    <w:multiLevelType w:val="hybridMultilevel"/>
    <w:lvl w:ilvl="0">
      <w:lvlJc w:val="left"/>
      <w:lvlText w:val="(%1)"/>
      <w:numFmt w:val="lowerLetter"/>
      <w:start w:val="58"/>
    </w:lvl>
  </w:abstractNum>
  <w:abstractNum w:abstractNumId="118">
    <w:nsid w:val="1DF029D3"/>
    <w:multiLevelType w:val="hybridMultilevel"/>
    <w:lvl w:ilvl="0">
      <w:lvlJc w:val="left"/>
      <w:lvlText w:val="(%1)"/>
      <w:numFmt w:val="lowerLetter"/>
      <w:start w:val="61"/>
    </w:lvl>
  </w:abstractNum>
  <w:abstractNum w:abstractNumId="119">
    <w:nsid w:val="5675FF36"/>
    <w:multiLevelType w:val="hybridMultilevel"/>
    <w:lvl w:ilvl="0">
      <w:lvlJc w:val="left"/>
      <w:lvlText w:val="(%1)"/>
      <w:numFmt w:val="lowerLetter"/>
      <w:start w:val="76"/>
    </w:lvl>
  </w:abstractNum>
  <w:abstractNum w:abstractNumId="120">
    <w:nsid w:val="3DD150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2024-04-10T15:22:39Z</dcterms:created>
  <dcterms:modified xsi:type="dcterms:W3CDTF">2024-04-10T15:22:39Z</dcterms:modified>
</cp:coreProperties>
</file>