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06163.xml.htm"/>
      <w:bookmarkStart w:id="1" w:name="kswkform4_17895061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BENEVICH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6027 EDGEWOOD BEND CT.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NEUROCRINE BIOSCIENCES INC</w:t>
              </w:r>
            </w:hyperlink>
            <w:r>
              <w:rPr/>
              <w:t xml:space="preserve"> [ </w:t>
            </w:r>
            <w:r>
              <w:rPr>
                <w:rFonts w:ascii="Times;serif" w:hAnsi="Times;serif"/>
                <w:color w:val="0000FF"/>
                <w:sz w:val="24"/>
                <w:shd w:fill="FFFFFF" w:val="clear"/>
              </w:rPr>
              <w:t>NBIX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6,275</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70,683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3,386</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156.22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67,297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previously granted performance restricted stock units (PRSUs) that vest upon the achievement of certain performance metrics, the achievement of one of which was certified on September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withheld by Neurocrine Biosciences, Inc. (the "Company" or "Issuer") to satisfy tax withholding requirements on vesting of PRSUs. No shares were sold.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Darin Lippoldt,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3653" TargetMode="External"/><Relationship Id="rId5" Type="http://schemas.openxmlformats.org/officeDocument/2006/relationships/hyperlink" Target="http://www.sec.gov/cgi-bin/browse-edgar?action=getcompany&amp;CIK=0000914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630</Words>
  <Characters>3455</Characters>
  <CharactersWithSpaces>4008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