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6353.xml.htm"/>
      <w:bookmarkStart w:id="1" w:name="kswkform4_17895063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Keswani Sanjay Chandru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6027 EDGEWOOD BEND CT.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NEUROCRINE BIOSCIENCES INC</w:t>
              </w:r>
            </w:hyperlink>
            <w:r>
              <w:rPr/>
              <w:t xml:space="preserve"> [ </w:t>
            </w:r>
            <w:r>
              <w:rPr>
                <w:rFonts w:ascii="Times;serif" w:hAnsi="Times;serif"/>
                <w:color w:val="0000FF"/>
                <w:sz w:val="24"/>
                <w:shd w:fill="FFFFFF" w:val="clear"/>
              </w:rPr>
              <w:t>NBIX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156.22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previously granted performance restricted stock units (PRSUs) that vest upon the achievement of certain performance metrics, the achievement of one of which was certified on September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by Neurocrine Biosciences, Inc. (the "Company" or "Issuer") to satisfy tax withholding requirements on vesting of PRSUs. No shares were sold.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Darin Lippoldt,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8524" TargetMode="External"/><Relationship Id="rId5" Type="http://schemas.openxmlformats.org/officeDocument/2006/relationships/hyperlink" Target="http://www.sec.gov/cgi-bin/browse-edgar?action=getcompany&amp;CIK=0000914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3458</Characters>
  <CharactersWithSpaces>4012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