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31, 2026</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br/>
        <w:t>Registration No. 333-</w:t>
      </w:r>
    </w:p>
    <w:p>
      <w:pPr>
        <w:pStyle w:val="TextBody"/>
        <w:bidi w:val="0"/>
        <w:spacing w:before="0" w:after="0"/>
        <w:jc w:val="left"/>
        <w:rPr/>
      </w:pPr>
      <w:r>
        <w:rPr/>
      </w:r>
    </w:p>
    <w:p>
      <w:pPr>
        <w:pStyle w:val="TextBody"/>
        <w:bidi w:val="0"/>
        <w:spacing w:before="0" w:after="0"/>
        <w:jc w:val="left"/>
        <w:rPr/>
      </w:pPr>
      <w:r>
        <w:rPr/>
      </w:r>
    </w:p>
    <w:tbl>
      <w:tblPr>
        <w:tblW w:w="10091" w:type="dxa"/>
        <w:jc w:val="left"/>
        <w:tblInd w:w="0" w:type="dxa"/>
        <w:tblLayout w:type="fixed"/>
        <w:tblCellMar>
          <w:top w:w="28" w:type="dxa"/>
          <w:left w:w="28" w:type="dxa"/>
          <w:bottom w:w="28" w:type="dxa"/>
          <w:right w:w="28" w:type="dxa"/>
        </w:tblCellMar>
      </w:tblPr>
      <w:tblGrid>
        <w:gridCol w:w="1709"/>
        <w:gridCol w:w="1493"/>
        <w:gridCol w:w="1493"/>
        <w:gridCol w:w="835"/>
        <w:gridCol w:w="835"/>
        <w:gridCol w:w="835"/>
        <w:gridCol w:w="835"/>
        <w:gridCol w:w="835"/>
        <w:gridCol w:w="1221"/>
      </w:tblGrid>
      <w:tr>
        <w:trPr/>
        <w:tc>
          <w:tcPr>
            <w:tcW w:w="17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36"/>
              </w:rPr>
            </w:pPr>
            <w:r>
              <w:rPr>
                <w:rFonts w:ascii="Times New Roman;serif" w:hAnsi="Times New Roman;serif"/>
                <w:b/>
                <w:color w:val="000000"/>
                <w:sz w:val="36"/>
              </w:rPr>
              <w:t>UNITED STATES</w:t>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4"/>
              </w:rPr>
            </w:pPr>
            <w:r>
              <w:rPr>
                <w:rFonts w:ascii="Times New Roman;serif" w:hAnsi="Times New Roman;serif"/>
                <w:b/>
                <w:color w:val="000000"/>
                <w:sz w:val="24"/>
              </w:rPr>
              <w:t>Washington, D.C. 20549</w:t>
            </w:r>
          </w:p>
        </w:tc>
      </w:tr>
      <w:tr>
        <w:trPr/>
        <w:tc>
          <w:tcPr>
            <w:tcW w:w="100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36"/>
              </w:rPr>
            </w:pPr>
            <w:r>
              <w:rPr>
                <w:rFonts w:ascii="Times New Roman;serif" w:hAnsi="Times New Roman;serif"/>
                <w:b/>
                <w:color w:val="000000"/>
                <w:sz w:val="36"/>
              </w:rPr>
              <w:t>FORM S-8</w:t>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36"/>
              </w:rPr>
            </w:pPr>
            <w:r>
              <w:rPr>
                <w:rFonts w:ascii="Times New Roman;serif" w:hAnsi="Times New Roman;serif"/>
                <w:b/>
                <w:color w:val="000000"/>
                <w:sz w:val="36"/>
              </w:rPr>
              <w:t>REGISTRATION STATEMENT</w:t>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i/>
                <w:color w:val="000000"/>
                <w:sz w:val="24"/>
              </w:rPr>
            </w:pPr>
            <w:r>
              <w:rPr>
                <w:rFonts w:ascii="Times New Roman;serif" w:hAnsi="Times New Roman;serif"/>
                <w:b/>
                <w:i/>
                <w:color w:val="000000"/>
                <w:sz w:val="24"/>
              </w:rPr>
              <w:t>UNDER</w:t>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i/>
                <w:color w:val="000000"/>
                <w:sz w:val="24"/>
              </w:rPr>
            </w:pPr>
            <w:r>
              <w:rPr>
                <w:rFonts w:ascii="Times New Roman;serif" w:hAnsi="Times New Roman;serif"/>
                <w:b/>
                <w:i/>
                <w:color w:val="000000"/>
                <w:sz w:val="24"/>
              </w:rPr>
              <w:t>THE SECURITIES ACT OF 1933</w:t>
            </w:r>
          </w:p>
        </w:tc>
      </w:tr>
      <w:tr>
        <w:trPr/>
        <w:tc>
          <w:tcPr>
            <w:tcW w:w="100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48"/>
              </w:rPr>
            </w:pPr>
            <w:r>
              <w:rPr>
                <w:rFonts w:ascii="Times New Roman;serif" w:hAnsi="Times New Roman;serif"/>
                <w:b/>
                <w:color w:val="000000"/>
                <w:sz w:val="48"/>
              </w:rPr>
              <w:t>NEUROCRINE BIOSCIENCES, INC.</w:t>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100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33-0525145</w:t>
            </w:r>
          </w:p>
        </w:tc>
      </w:tr>
      <w:tr>
        <w:trPr/>
        <w:tc>
          <w:tcPr>
            <w:tcW w:w="46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00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6027 Edgewood Bend Court</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Diego, CA 92130</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r>
      <w:tr>
        <w:trPr/>
        <w:tc>
          <w:tcPr>
            <w:tcW w:w="100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Neurocrine Biosciences, Inc. 2025 Equity Incentive Plan</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(Full Title of the Plan)</w:t>
            </w:r>
          </w:p>
        </w:tc>
      </w:tr>
      <w:tr>
        <w:trPr/>
        <w:tc>
          <w:tcPr>
            <w:tcW w:w="100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Kyle W. Gano, Ph.D.</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Neurocrine Biosciences, Inc.</w:t>
            </w:r>
          </w:p>
        </w:tc>
      </w:tr>
      <w:tr>
        <w:trPr/>
        <w:tc>
          <w:tcPr>
            <w:tcW w:w="10091"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6027 Edgewood Bend Court</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Diego, CA 92130</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Address of Agent for Service)</w:t>
            </w:r>
          </w:p>
        </w:tc>
      </w:tr>
      <w:tr>
        <w:trPr/>
        <w:tc>
          <w:tcPr>
            <w:tcW w:w="100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(858) 617-7600</w:t>
            </w:r>
          </w:p>
        </w:tc>
      </w:tr>
      <w:tr>
        <w:trPr/>
        <w:tc>
          <w:tcPr>
            <w:tcW w:w="10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(Telephone Number, Including Area Code, of Agent for Service)</w:t>
            </w:r>
          </w:p>
        </w:tc>
      </w:tr>
    </w:tbl>
    <w:p>
      <w:pPr>
        <w:pStyle w:val="TextBody"/>
        <w:bidi w:val="0"/>
        <w:spacing w:lineRule="auto" w:line="276"/>
        <w:jc w:val="center"/>
        <w:rPr>
          <w:rFonts w:ascii="Times New Roman;serif" w:hAnsi="Times New Roman;serif"/>
          <w:b/>
          <w:color w:val="000000"/>
          <w:sz w:val="16"/>
        </w:rPr>
      </w:pPr>
      <w:r>
        <w:rPr>
          <w:rFonts w:ascii="Times New Roman;serif" w:hAnsi="Times New Roman;serif"/>
          <w:b/>
          <w:color w:val="000000"/>
          <w:sz w:val="16"/>
        </w:rPr>
      </w:r>
    </w:p>
    <w:p>
      <w:pPr>
        <w:pStyle w:val="TextBody"/>
        <w:bidi w:val="0"/>
        <w:spacing w:lineRule="auto" w:line="276"/>
        <w:jc w:val="center"/>
        <w:rPr>
          <w:rFonts w:ascii="Times New Roman;serif" w:hAnsi="Times New Roman;serif"/>
          <w:b/>
          <w:color w:val="000000"/>
          <w:sz w:val="16"/>
        </w:rPr>
      </w:pPr>
      <w:r>
        <w:rPr>
          <w:rFonts w:ascii="Times New Roman;serif" w:hAnsi="Times New Roman;serif"/>
          <w:b/>
          <w:color w:val="000000"/>
          <w:sz w:val="16"/>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37" w:type="dxa"/>
        <w:jc w:val="left"/>
        <w:tblInd w:w="0" w:type="dxa"/>
        <w:tblLayout w:type="fixed"/>
        <w:tblCellMar>
          <w:top w:w="28" w:type="dxa"/>
          <w:left w:w="28" w:type="dxa"/>
          <w:bottom w:w="28" w:type="dxa"/>
          <w:right w:w="28" w:type="dxa"/>
        </w:tblCellMar>
      </w:tblPr>
      <w:tblGrid>
        <w:gridCol w:w="907"/>
        <w:gridCol w:w="795"/>
        <w:gridCol w:w="802"/>
        <w:gridCol w:w="314"/>
        <w:gridCol w:w="314"/>
        <w:gridCol w:w="316"/>
        <w:gridCol w:w="728"/>
        <w:gridCol w:w="728"/>
        <w:gridCol w:w="1033"/>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Copies to:</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Darin M. Lippoldt</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Jason L. Kent, Esq.</w:t>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Chief Legal Officer</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Carlos A. Ramirez, Esq.</w:t>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Neurocrine Biosciences, Inc.</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Cooley LLP</w:t>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6027 Edgewood Bend Court</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10265 Science Center Drive</w:t>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San Diego, CA 92130</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San Diego, CA 92121</w:t>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(858) 617-7600</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(858) 550-6000</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b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481"/>
        <w:gridCol w:w="1180"/>
        <w:gridCol w:w="1131"/>
        <w:gridCol w:w="256"/>
        <w:gridCol w:w="256"/>
        <w:gridCol w:w="256"/>
        <w:gridCol w:w="232"/>
        <w:gridCol w:w="232"/>
        <w:gridCol w:w="232"/>
        <w:gridCol w:w="1382"/>
        <w:gridCol w:w="1382"/>
        <w:gridCol w:w="1387"/>
        <w:gridCol w:w="232"/>
        <w:gridCol w:w="232"/>
        <w:gridCol w:w="334"/>
      </w:tblGrid>
      <w:tr>
        <w:trPr/>
        <w:tc>
          <w:tcPr>
            <w:tcW w:w="148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768"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98"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r>
      <w:tr>
        <w:trPr/>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768"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xml:space="preserve">☐ </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98"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r>
      <w:tr>
        <w:trPr/>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INCORPORATION BY REFERENCE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REGISTRATION STATEMENT ON FORM S-8</w:t>
      </w:r>
    </w:p>
    <w:p>
      <w:pPr>
        <w:pStyle w:val="TextBody"/>
        <w:bidi w:val="0"/>
        <w:spacing w:lineRule="auto" w:line="268" w:before="0" w:after="0"/>
        <w:jc w:val="left"/>
        <w:rPr/>
      </w:pPr>
      <w:r>
        <w:rPr>
          <w:rFonts w:ascii="Times New Roman;serif" w:hAnsi="Times New Roman;serif"/>
          <w:b w:val="false"/>
          <w:color w:val="000000"/>
          <w:sz w:val="20"/>
        </w:rPr>
        <w:t xml:space="preserve">This Registration Statement on Form S-8 is being filed for the purpose of increasing the number of securities of the same class as other securities for which a Registration Statement on Form S-8 relating to the same benefit plan is effective. </w:t>
      </w:r>
      <w:r>
        <w:rPr>
          <w:rFonts w:ascii="Times New Roman;serif" w:hAnsi="Times New Roman;serif"/>
          <w:b w:val="false"/>
          <w:color w:val="000000"/>
          <w:sz w:val="20"/>
          <w:shd w:fill="FFFFFF" w:val="clear"/>
        </w:rPr>
        <w:t xml:space="preserve">This Registration Statement on Form S-8 registers the offer and sale of an additional 4,000,000 shares of the Registrant’s common stock for issuance </w:t>
      </w:r>
      <w:r>
        <w:rPr>
          <w:rFonts w:ascii="Times New Roman;serif" w:hAnsi="Times New Roman;serif"/>
          <w:b w:val="false"/>
          <w:color w:val="000000"/>
          <w:sz w:val="20"/>
        </w:rPr>
        <w:t>under the Neurocrine Biosciences, Inc. 2025 Equity Incentive Plan (as amended, the “</w:t>
      </w:r>
      <w:r>
        <w:rPr>
          <w:rFonts w:ascii="Times New Roman;serif" w:hAnsi="Times New Roman;serif"/>
          <w:b/>
          <w:i/>
          <w:color w:val="000000"/>
          <w:sz w:val="20"/>
        </w:rPr>
        <w:t>2025 Plan</w:t>
      </w:r>
      <w:r>
        <w:rPr>
          <w:color w:val="000000"/>
        </w:rPr>
        <w: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rPr>
        <w:t xml:space="preserve">The Registrant previously registered shares of its common stock for issuance under the 2025 Plan on May 21, 2025 (File No. </w:t>
      </w:r>
      <w:r>
        <w:rPr>
          <w:rFonts w:ascii="Times New Roman;serif" w:hAnsi="Times New Roman;serif"/>
          <w:b w:val="false"/>
          <w:color w:val="000000"/>
          <w:sz w:val="20"/>
          <w:shd w:fill="FFFFFF" w:val="clear"/>
        </w:rPr>
        <w:t>333-287477</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rPr>
        <w:t>Pursuant to General Instruction E to Form S-8, this Registration Statement hereby incorporates by reference the contents of the Registration Statement referenced above.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4"/>
        <w:gridCol w:w="261"/>
        <w:gridCol w:w="258"/>
        <w:gridCol w:w="365"/>
        <w:gridCol w:w="365"/>
        <w:gridCol w:w="367"/>
        <w:gridCol w:w="2396"/>
        <w:gridCol w:w="2396"/>
        <w:gridCol w:w="3493"/>
      </w:tblGrid>
      <w:tr>
        <w:trPr/>
        <w:tc>
          <w:tcPr>
            <w:tcW w:w="3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938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Certificate of Incorporation, as amended</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3.1 of the Registrant’s Quarterly Report on Form 10-Q filed on November 5, 2018</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Bylaws, as amended</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3.2 of the Registrant’s Quarterly Report on Form 10-Q filed on October 30, 2024</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Form of Common Stock Certificate</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the Registrant’s Registration Statement on Form S-1 (Registration No. 333-03172)</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Description of Common Stock of the Registrant</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4.2 of the Registrant’s Annual Report on Form 10-K filed on February 1, 2026</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nbix-20260730xs8exhibit51.htm">
              <w:r>
                <w:rPr>
                  <w:rStyle w:val="InternetLink"/>
                  <w:rFonts w:ascii="Times New Roman;serif" w:hAnsi="Times New Roman;serif"/>
                  <w:b w:val="false"/>
                  <w:color w:val="0000FF"/>
                  <w:sz w:val="20"/>
                  <w:u w:val="single"/>
                </w:rPr>
                <w:t>Opinion of Cooley LLP</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nbix-20260730xs8exhibit231.htm">
              <w:r>
                <w:rPr>
                  <w:rStyle w:val="InternetLink"/>
                  <w:rFonts w:ascii="Times New Roman;serif" w:hAnsi="Times New Roman;serif"/>
                  <w:b w:val="false"/>
                  <w:color w:val="0000FF"/>
                  <w:sz w:val="20"/>
                  <w:u w:val="single"/>
                </w:rPr>
                <w:t>Consent of Independent Registered Public Accounting Firm</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nbix-20260730xs8exhibit51.htm">
              <w:r>
                <w:rPr>
                  <w:rStyle w:val="InternetLink"/>
                  <w:rFonts w:ascii="Times New Roman;serif" w:hAnsi="Times New Roman;serif"/>
                  <w:b w:val="false"/>
                  <w:color w:val="0000FF"/>
                  <w:sz w:val="20"/>
                  <w:u w:val="single"/>
                </w:rPr>
                <w:t>Consent of Cooley LLP (included in Exhibit 5.1)</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0da83da4c8ce4c70ae8d4d492ffe9de8_4">
              <w:r>
                <w:rPr>
                  <w:rStyle w:val="InternetLink"/>
                  <w:rFonts w:ascii="Times New Roman;serif" w:hAnsi="Times New Roman;serif"/>
                  <w:b w:val="false"/>
                  <w:color w:val="0000FF"/>
                  <w:sz w:val="20"/>
                  <w:u w:val="single"/>
                </w:rPr>
                <w:t>Power of Attorney (included on the signature page hereto)</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Neurocrine Biosciences, Inc. 2025 Equity Incentive Plan, as amended</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w:t>
            </w:r>
          </w:p>
        </w:tc>
        <w:tc>
          <w:tcPr>
            <w:tcW w:w="82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10.3 of the Registrant’s Quarterly Report on Form 10-Q filed on July 31, 2026</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28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3"/>
        <w:gridCol w:w="601"/>
        <w:gridCol w:w="601"/>
        <w:gridCol w:w="601"/>
        <w:gridCol w:w="601"/>
        <w:gridCol w:w="601"/>
        <w:gridCol w:w="615"/>
        <w:gridCol w:w="601"/>
        <w:gridCol w:w="601"/>
        <w:gridCol w:w="601"/>
        <w:gridCol w:w="601"/>
        <w:gridCol w:w="601"/>
        <w:gridCol w:w="1443"/>
        <w:gridCol w:w="601"/>
        <w:gridCol w:w="853"/>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SIGNATURES</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July 31, 2026.</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NEUROCRINE BIOSCIENCES, INC.</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Kyle W. Gano    </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Kyle W. Gano, Ph.D.</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576"/>
        <w:gridCol w:w="576"/>
        <w:gridCol w:w="576"/>
        <w:gridCol w:w="576"/>
        <w:gridCol w:w="576"/>
        <w:gridCol w:w="1103"/>
        <w:gridCol w:w="576"/>
        <w:gridCol w:w="576"/>
        <w:gridCol w:w="576"/>
        <w:gridCol w:w="576"/>
        <w:gridCol w:w="576"/>
        <w:gridCol w:w="731"/>
        <w:gridCol w:w="576"/>
        <w:gridCol w:w="824"/>
      </w:tblGrid>
      <w:tr>
        <w:trPr/>
        <w:tc>
          <w:tcPr>
            <w:tcW w:w="121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POWER OF ATTORNEY</w:t>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KNOW ALL PERSONS BY THESE PRESENTS</w:t>
            </w:r>
            <w:r>
              <w:rPr>
                <w:rFonts w:ascii="Times New Roman;serif" w:hAnsi="Times New Roman;serif"/>
                <w:b w:val="false"/>
                <w:color w:val="000000"/>
                <w:sz w:val="20"/>
              </w:rPr>
              <w:t>, that each person whose signature appears below constitutes and appoints KYLE W. GANO, PH.D., MATTHEW C. ABERNETHY and DARIN M. LIPPOLDT, and each or either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w:t>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 Kyle W. Gano </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 and 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Kyle W. Gano, Ph.D.</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16"/>
              </w:rPr>
            </w:pPr>
            <w:r>
              <w:rPr>
                <w:rFonts w:ascii="Times New Roman;serif" w:hAnsi="Times New Roman;serif"/>
                <w:b w:val="false"/>
                <w:i/>
                <w:color w:val="000000"/>
                <w:sz w:val="16"/>
              </w:rPr>
              <w:t>(Principal Executive Officer)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Matthew C. Abernethy</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Chief Financial Officer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Matthew C. Abernethy</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16"/>
              </w:rPr>
            </w:pPr>
            <w:r>
              <w:rPr>
                <w:rFonts w:ascii="Times New Roman;serif" w:hAnsi="Times New Roman;serif"/>
                <w:b w:val="false"/>
                <w:i/>
                <w:color w:val="000000"/>
                <w:sz w:val="16"/>
              </w:rPr>
              <w:t>(Principal Financial and Accounting Officer)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William H. Rastetter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Chairman of the Board of Directors</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William H. Rastetter, Ph.D.</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Kevin C. Gorman</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Kevin C. Gorman, Ph.D.</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Gary A. Lyons</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Gary A. Lyons</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Johanna Mercier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Johanna Mercier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George J. Morrow</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George J. Morrow</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Leslie V. Norwalk</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Leslie V. Norwalk</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Christine A. Poon</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Christine A. Poon</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 Richard F. Pops</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Richard F. Pops</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 Shalini Sharp </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Shalini Sharp </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i/>
                <w:color w:val="000000"/>
                <w:sz w:val="16"/>
              </w:rPr>
              <w:t xml:space="preserve">/s/ </w:t>
            </w:r>
            <w:r>
              <w:rPr>
                <w:rFonts w:ascii="Times New Roman;serif" w:hAnsi="Times New Roman;serif"/>
                <w:b w:val="false"/>
                <w:color w:val="000000"/>
                <w:sz w:val="16"/>
              </w:rPr>
              <w:t>Stephen A. Sherwin</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2026</w:t>
            </w:r>
          </w:p>
        </w:tc>
      </w:tr>
      <w:tr>
        <w:trPr/>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Stephen A. Sherwin, M.D.</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3"/>
        <w:gridCol w:w="266"/>
        <w:gridCol w:w="268"/>
        <w:gridCol w:w="675"/>
        <w:gridCol w:w="619"/>
        <w:gridCol w:w="622"/>
        <w:gridCol w:w="366"/>
        <w:gridCol w:w="366"/>
        <w:gridCol w:w="367"/>
        <w:gridCol w:w="356"/>
        <w:gridCol w:w="356"/>
        <w:gridCol w:w="357"/>
        <w:gridCol w:w="332"/>
        <w:gridCol w:w="332"/>
        <w:gridCol w:w="334"/>
        <w:gridCol w:w="228"/>
        <w:gridCol w:w="1485"/>
        <w:gridCol w:w="126"/>
        <w:gridCol w:w="336"/>
        <w:gridCol w:w="336"/>
        <w:gridCol w:w="341"/>
        <w:gridCol w:w="228"/>
        <w:gridCol w:w="1014"/>
        <w:gridCol w:w="192"/>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w:t>
              <w:br/>
              <w:t>Type</w:t>
            </w:r>
          </w:p>
        </w:tc>
        <w:tc>
          <w:tcPr>
            <w:tcW w:w="1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w:t>
              <w:br/>
              <w:t>Title</w:t>
            </w:r>
          </w:p>
        </w:tc>
        <w:tc>
          <w:tcPr>
            <w:tcW w:w="1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w:t>
              <w:br/>
              <w:t>Calculation</w:t>
              <w:br/>
              <w:t>Rule</w:t>
            </w:r>
          </w:p>
        </w:tc>
        <w:tc>
          <w:tcPr>
            <w:tcW w:w="1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p>
            <w:pPr>
              <w:pStyle w:val="TableContents"/>
              <w:bidi w:val="0"/>
              <w:spacing w:lineRule="auto" w:line="240" w:before="0" w:after="0"/>
              <w:jc w:val="center"/>
              <w:rPr/>
            </w:pPr>
            <w:r>
              <w:rPr>
                <w:rFonts w:ascii="Times New Roman;serif" w:hAnsi="Times New Roman;serif"/>
                <w:b/>
                <w:color w:val="000000"/>
                <w:sz w:val="16"/>
              </w:rPr>
              <w:t>Registered</w:t>
            </w:r>
            <w:r>
              <w:rPr>
                <w:rFonts w:ascii="Times New Roman;serif" w:hAnsi="Times New Roman;serif"/>
                <w:b/>
                <w:color w:val="000000"/>
                <w:sz w:val="10"/>
              </w:rPr>
              <w:t>(1)</w:t>
            </w:r>
          </w:p>
        </w:tc>
        <w:tc>
          <w:tcPr>
            <w:tcW w:w="9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w:t>
              <w:br/>
              <w:t>Maximum</w:t>
              <w:br/>
              <w:t>Offering</w:t>
              <w:br/>
              <w:t>Price Per</w:t>
              <w:br/>
              <w:t>Unit</w:t>
            </w:r>
          </w:p>
        </w:tc>
        <w:tc>
          <w:tcPr>
            <w:tcW w:w="18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br/>
              <w:t>Aggregate</w:t>
              <w:br/>
              <w:t>Offering</w:t>
              <w:br/>
              <w:t>Price</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Registration</w:t>
              <w:br/>
              <w:t>Fee</w:t>
            </w:r>
          </w:p>
        </w:tc>
      </w:tr>
      <w:tr>
        <w:trPr/>
        <w:tc>
          <w:tcPr>
            <w:tcW w:w="8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per share, 2025 Equity Incentive Plan</w:t>
            </w:r>
          </w:p>
        </w:tc>
        <w:tc>
          <w:tcPr>
            <w:tcW w:w="1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8"/>
              </w:rPr>
              <w:t>Other</w:t>
            </w:r>
            <w:r>
              <w:rPr>
                <w:rFonts w:ascii="Times New Roman;serif" w:hAnsi="Times New Roman;serif"/>
                <w:b w:val="false"/>
                <w:color w:val="000000"/>
                <w:sz w:val="12"/>
              </w:rPr>
              <w:t>(2)</w:t>
            </w:r>
          </w:p>
        </w:tc>
        <w:tc>
          <w:tcPr>
            <w:tcW w:w="1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18"/>
              </w:rPr>
              <w:t>4,000,000</w:t>
            </w:r>
            <w:r>
              <w:rPr>
                <w:rFonts w:ascii="Times New Roman;serif" w:hAnsi="Times New Roman;serif"/>
                <w:b w:val="false"/>
                <w:color w:val="000000"/>
                <w:sz w:val="12"/>
              </w:rPr>
              <w:t>(3)</w:t>
            </w:r>
          </w:p>
        </w:tc>
        <w:tc>
          <w:tcPr>
            <w:tcW w:w="9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18"/>
              </w:rPr>
              <w:t>$175.365</w:t>
            </w:r>
            <w:r>
              <w:rPr>
                <w:rFonts w:ascii="Times New Roman;serif" w:hAnsi="Times New Roman;serif"/>
                <w:b w:val="false"/>
                <w:color w:val="000000"/>
                <w:sz w:val="12"/>
              </w:rPr>
              <w:t>(2)</w:t>
            </w:r>
          </w:p>
        </w:tc>
        <w:tc>
          <w:tcPr>
            <w:tcW w:w="22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5" w:type="dxa"/>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701,460,000.00 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0.0001381</w:t>
            </w:r>
          </w:p>
        </w:tc>
        <w:tc>
          <w:tcPr>
            <w:tcW w:w="22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96,871.63 </w:t>
            </w:r>
          </w:p>
        </w:tc>
        <w:tc>
          <w:tcPr>
            <w:tcW w:w="19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21"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Offering Amounts</w:t>
            </w:r>
          </w:p>
        </w:tc>
        <w:tc>
          <w:tcPr>
            <w:tcW w:w="9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5" w:type="dxa"/>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701,460,000.00 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96,871.63 </w:t>
            </w:r>
          </w:p>
        </w:tc>
        <w:tc>
          <w:tcPr>
            <w:tcW w:w="19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21"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Fee Offsets</w:t>
            </w:r>
          </w:p>
        </w:tc>
        <w:tc>
          <w:tcPr>
            <w:tcW w:w="9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21" w:type="dxa"/>
            <w:gridSpan w:val="12"/>
            <w:tcBorders>
              <w:top w:val="single" w:sz="8" w:space="0" w:color="000000"/>
              <w:left w:val="single" w:sz="8" w:space="0" w:color="000000"/>
              <w:bottom w:val="single" w:sz="8" w:space="0" w:color="000000"/>
            </w:tcBorders>
            <w:tcMar>
              <w:top w:w="30" w:type="dxa"/>
              <w:left w:w="38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Fee Due</w:t>
            </w:r>
          </w:p>
        </w:tc>
        <w:tc>
          <w:tcPr>
            <w:tcW w:w="99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96,871.63 </w:t>
            </w:r>
          </w:p>
        </w:tc>
        <w:tc>
          <w:tcPr>
            <w:tcW w:w="192"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(1) Pursuant to Rule 416(a) promulgated under the Securities Act of 1933, as amended, this Registration Statement shall also cover any additional shares of common stock of Neurocrine Biosciences, Inc. (the </w:t>
            </w:r>
            <w:r>
              <w:rPr>
                <w:color w:val="000000"/>
              </w:rPr>
              <w:t>“</w:t>
            </w:r>
            <w:r>
              <w:rPr>
                <w:rFonts w:ascii="Times New Roman;serif" w:hAnsi="Times New Roman;serif"/>
                <w:b/>
                <w:color w:val="000000"/>
                <w:sz w:val="20"/>
              </w:rPr>
              <w:t>Registrant”</w:t>
            </w:r>
            <w:r>
              <w:rPr>
                <w:rFonts w:ascii="Times New Roman;serif" w:hAnsi="Times New Roman;serif"/>
                <w:b w:val="false"/>
                <w:color w:val="000000"/>
                <w:sz w:val="20"/>
              </w:rPr>
              <w:t xml:space="preserve">) that become issuable under the Registrant’s 2025 Equity Incentive Plan (the </w:t>
            </w:r>
            <w:r>
              <w:rPr>
                <w:color w:val="000000"/>
              </w:rPr>
              <w:t>“</w:t>
            </w:r>
            <w:r>
              <w:rPr>
                <w:rFonts w:ascii="Times New Roman;serif" w:hAnsi="Times New Roman;serif"/>
                <w:b/>
                <w:color w:val="000000"/>
                <w:sz w:val="20"/>
              </w:rPr>
              <w:t>2025 Plan”</w:t>
            </w:r>
            <w:r>
              <w:rPr>
                <w:rFonts w:ascii="Times New Roman;serif" w:hAnsi="Times New Roman;serif"/>
                <w:b w:val="false"/>
                <w:color w:val="000000"/>
                <w:sz w:val="20"/>
              </w:rPr>
              <w:t>) by reason of any stock dividend, stock split, recapitalization, or other similar transaction effected that results in an increase to the number of outstanding shares of Registrant’s common stock, as applicable.</w:t>
            </w:r>
          </w:p>
          <w:p>
            <w:pPr>
              <w:pStyle w:val="TableContents"/>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(2) Estimated in accordance with Rule 457(c) and (h) solely for the purpose of calculating the registration fee on the basis of 175.365 per share of common stock, which represents the average of the high and low prices of the Registrant's common stock as reported on The Nasdaq Global Select Market on July 24, 2026.</w:t>
            </w:r>
          </w:p>
          <w:p>
            <w:pPr>
              <w:pStyle w:val="TableContents"/>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(3) Represents 4,000,000 additional shares of Registrant’s common stock that were added to the shares authorized for issuance under the 2025 Plan on May 27, 2026 pursuant to approval of the stockholders at the 2026 Annual Meeting of Stockholders.</w:t>
            </w:r>
          </w:p>
        </w:tc>
      </w:tr>
    </w:tbl>
    <w:p>
      <w:pPr>
        <w:pStyle w:val="TextBody"/>
        <w:bidi w:val="0"/>
        <w:spacing w:lineRule="auto" w:line="276"/>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95400" cy="4191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7"/>
                    <a:stretch>
                      <a:fillRect/>
                    </a:stretch>
                  </pic:blipFill>
                  <pic:spPr bwMode="auto">
                    <a:xfrm>
                      <a:off x="0" y="0"/>
                      <a:ext cx="1295400" cy="4191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Carlos A. Ramirez</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+1 858 550 6157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cramirez@cooley.com</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Neurocrine Biosciences,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6027 Edgewood Bend Court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Diego, CA 92130</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120"/>
        <w:jc w:val="both"/>
        <w:rPr/>
      </w:pPr>
      <w:r>
        <w:rPr>
          <w:rFonts w:ascii="Times New Roman;serif" w:hAnsi="Times New Roman;serif"/>
          <w:b w:val="false"/>
          <w:color w:val="000000"/>
          <w:sz w:val="20"/>
        </w:rPr>
        <w:t>We have acted as counsel to Neurocrine Biosciences,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filing by the Company of a Registration Statement on Form S</w:t>
        <w:noBreakHyphen/>
        <w:t>8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covering the offering of up to 4,000,000 shares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of the Company’s common stock, $0.001 par value, issuable pursuant to the Company’s 2025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this opinion, we have examined and relied upon (a) the Registration Statement and the related prospectus, (b) the Plan,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Cooley LLP</w:t>
      </w:r>
    </w:p>
    <w:tbl>
      <w:tblPr>
        <w:tblW w:w="2606" w:type="dxa"/>
        <w:jc w:val="left"/>
        <w:tblInd w:w="0" w:type="dxa"/>
        <w:tblLayout w:type="fixed"/>
        <w:tblCellMar>
          <w:top w:w="28" w:type="dxa"/>
          <w:left w:w="28" w:type="dxa"/>
          <w:bottom w:w="28" w:type="dxa"/>
          <w:right w:w="28" w:type="dxa"/>
        </w:tblCellMar>
      </w:tblPr>
      <w:tblGrid>
        <w:gridCol w:w="151"/>
        <w:gridCol w:w="134"/>
        <w:gridCol w:w="135"/>
        <w:gridCol w:w="604"/>
        <w:gridCol w:w="604"/>
        <w:gridCol w:w="60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A. Ramirez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Carlos A. Ramirez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2235"/>
                <wp:effectExtent l="0" t="0" r="0" b="0"/>
                <wp:wrapNone/>
                <wp:docPr id="8" name="Frame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10265 Science Center Drive, San Diego, CA 92121 T: (858) 550-6000 F: (858) 550-6420 www.cooley.com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10265 Science Center Drive, San Diego, CA 92121 T: (858) 550-6000 F: (858) 550-6420 www.cooley.com</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pertaining to the Neurocrine Biosciences, Inc. 2025 Equity Incentive Plan of our reports dated February 11, 2026, with respect to the consolidated financial statements of Neurocrine Biosciences, Inc. and the effectiveness of internal control over financial reporting of Neurocrine Biosciences, Inc. included in its Annual Report (Form 10-K) for the year ended December 31, 2025, filed with the Securities and Exchange Commission.</w:t>
      </w:r>
    </w:p>
    <w:tbl>
      <w:tblPr>
        <w:tblW w:w="2010" w:type="dxa"/>
        <w:jc w:val="left"/>
        <w:tblInd w:w="0" w:type="dxa"/>
        <w:tblLayout w:type="fixed"/>
        <w:tblCellMar>
          <w:top w:w="28" w:type="dxa"/>
          <w:left w:w="28" w:type="dxa"/>
          <w:bottom w:w="28" w:type="dxa"/>
          <w:right w:w="28" w:type="dxa"/>
        </w:tblCellMar>
      </w:tblPr>
      <w:tblGrid>
        <w:gridCol w:w="643"/>
        <w:gridCol w:w="564"/>
        <w:gridCol w:w="803"/>
      </w:tblGrid>
      <w:tr>
        <w:trPr/>
        <w:tc>
          <w:tcPr>
            <w:tcW w:w="6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tc>
      </w:tr>
      <w:tr>
        <w:trPr/>
        <w:tc>
          <w:tcPr>
            <w:tcW w:w="20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4475/000156459018026844/nbix-ex31_91.htm" TargetMode="External"/><Relationship Id="rId3" Type="http://schemas.openxmlformats.org/officeDocument/2006/relationships/hyperlink" Target="https://www.sec.gov/Archives/edgar/data/914475/000091447524000211/exhibit32-bylawsasamende.htm" TargetMode="External"/><Relationship Id="rId4" Type="http://schemas.openxmlformats.org/officeDocument/2006/relationships/hyperlink" Target="https://www.sec.gov/Archives/edgar/data/914475/0000898430-96-002108.txt" TargetMode="External"/><Relationship Id="rId5" Type="http://schemas.openxmlformats.org/officeDocument/2006/relationships/hyperlink" Target="https://www.sec.gov/Archives/edgar/data/914475/000091447526000007/q4-2025exhibit42.htm" TargetMode="External"/><Relationship Id="rId6" Type="http://schemas.openxmlformats.org/officeDocument/2006/relationships/hyperlink" Target="https://www.sec.gov/Archives/edgar/data/914475/000091447526000037/q2-2026xexhibit103.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1906</Words>
  <Characters>10265</Characters>
  <CharactersWithSpaces>11969</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