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879"/>
        <w:spacing w:after="0"/>
        <w:tabs>
          <w:tab w:leader="none" w:pos="2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___________</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CURRENT REPORT</w:t>
      </w:r>
    </w:p>
    <w:p>
      <w:pPr>
        <w:spacing w:after="0" w:line="29"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PURSUANT TO SECTION 13 OR 15(d) OF THE</w:t>
      </w:r>
    </w:p>
    <w:p>
      <w:pPr>
        <w:ind w:left="2540"/>
        <w:spacing w:after="0"/>
        <w:rPr>
          <w:sz w:val="20"/>
          <w:szCs w:val="20"/>
          <w:color w:val="auto"/>
        </w:rPr>
      </w:pPr>
      <w:r>
        <w:rPr>
          <w:rFonts w:ascii="Courier New" w:cs="Courier New" w:eastAsia="Courier New" w:hAnsi="Courier New"/>
          <w:sz w:val="18"/>
          <w:szCs w:val="18"/>
          <w:color w:val="auto"/>
        </w:rPr>
        <w:t>SECURITIES EXCHANGE ACT OF 1934</w:t>
      </w:r>
    </w:p>
    <w:p>
      <w:pPr>
        <w:spacing w:after="0" w:line="372" w:lineRule="exact"/>
        <w:rPr>
          <w:sz w:val="24"/>
          <w:szCs w:val="24"/>
          <w:color w:val="auto"/>
        </w:rPr>
      </w:pPr>
    </w:p>
    <w:p>
      <w:pPr>
        <w:spacing w:after="0"/>
        <w:tabs>
          <w:tab w:leader="none" w:pos="536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December 15, 2000</w:t>
      </w:r>
    </w:p>
    <w:p>
      <w:pPr>
        <w:spacing w:after="0" w:line="200" w:lineRule="exact"/>
        <w:rPr>
          <w:sz w:val="24"/>
          <w:szCs w:val="24"/>
          <w:color w:val="auto"/>
        </w:r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NEUROCRINE BIOSCIENCES, INC.</w:t>
      </w:r>
    </w:p>
    <w:p>
      <w:pPr>
        <w:spacing w:after="0" w:line="29"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(Exact Name of Registrant as Specified in Charter)</w:t>
      </w:r>
    </w:p>
    <w:p>
      <w:pPr>
        <w:sectPr>
          <w:pgSz w:w="11900" w:h="16838" w:orient="portrait"/>
          <w:cols w:equalWidth="0" w:num="1">
            <w:col w:w="10219"/>
          </w:cols>
          <w:pgMar w:left="240" w:top="623" w:right="1440" w:bottom="1440" w:gutter="0" w:footer="0" w:header="0"/>
        </w:sectPr>
      </w:pPr>
    </w:p>
    <w:p>
      <w:pPr>
        <w:spacing w:after="0" w:line="37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Delaware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w:t>
      </w:r>
    </w:p>
    <w:p>
      <w:pPr>
        <w:ind w:left="5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5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000-22705</w:t>
      </w:r>
    </w:p>
    <w:p>
      <w:pPr>
        <w:spacing w:after="0" w:line="31"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352"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33-0525145</w:t>
      </w:r>
    </w:p>
    <w:p>
      <w:pPr>
        <w:spacing w:after="0" w:line="31"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Employer</w:t>
      </w:r>
    </w:p>
    <w:p>
      <w:pPr>
        <w:spacing w:after="0"/>
        <w:rPr>
          <w:sz w:val="20"/>
          <w:szCs w:val="20"/>
          <w:color w:val="auto"/>
        </w:rPr>
      </w:pPr>
      <w:r>
        <w:rPr>
          <w:rFonts w:ascii="Courier New" w:cs="Courier New" w:eastAsia="Courier New" w:hAnsi="Courier New"/>
          <w:sz w:val="16"/>
          <w:szCs w:val="16"/>
          <w:color w:val="auto"/>
        </w:rPr>
        <w:t>Identification No.)</w:t>
      </w:r>
    </w:p>
    <w:p>
      <w:pPr>
        <w:spacing w:after="0" w:line="191" w:lineRule="exact"/>
        <w:rPr>
          <w:sz w:val="24"/>
          <w:szCs w:val="24"/>
          <w:color w:val="auto"/>
        </w:rPr>
      </w:pPr>
    </w:p>
    <w:p>
      <w:pPr>
        <w:sectPr>
          <w:pgSz w:w="11900" w:h="16838" w:orient="portrait"/>
          <w:cols w:equalWidth="0" w:num="3">
            <w:col w:w="3160" w:space="220"/>
            <w:col w:w="2740" w:space="100"/>
            <w:col w:w="3999"/>
          </w:cols>
          <w:pgMar w:left="240" w:top="623" w:right="1440" w:bottom="1440" w:gutter="0" w:footer="0" w:header="0"/>
          <w:type w:val="continuous"/>
        </w:sectPr>
      </w:pPr>
    </w:p>
    <w:p>
      <w:pPr>
        <w:ind w:left="1280"/>
        <w:spacing w:after="0"/>
        <w:rPr>
          <w:sz w:val="20"/>
          <w:szCs w:val="20"/>
          <w:color w:val="auto"/>
        </w:rPr>
      </w:pPr>
      <w:r>
        <w:rPr>
          <w:rFonts w:ascii="Courier New" w:cs="Courier New" w:eastAsia="Courier New" w:hAnsi="Courier New"/>
          <w:sz w:val="18"/>
          <w:szCs w:val="18"/>
          <w:color w:val="auto"/>
        </w:rPr>
        <w:t>10555 Science Center Drive, San Diego, California 92121</w:t>
      </w:r>
    </w:p>
    <w:p>
      <w:pPr>
        <w:spacing w:after="0" w:line="31"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(Address of Principal Executive Offices) (Zip Code)</w:t>
      </w:r>
    </w:p>
    <w:p>
      <w:pPr>
        <w:sectPr>
          <w:pgSz w:w="11900" w:h="16838" w:orient="portrait"/>
          <w:cols w:equalWidth="0" w:num="1">
            <w:col w:w="10219"/>
          </w:cols>
          <w:pgMar w:left="240" w:top="623" w:right="1440" w:bottom="1440" w:gutter="0" w:footer="0" w:header="0"/>
          <w:type w:val="continuous"/>
        </w:sectPr>
      </w:pPr>
    </w:p>
    <w:p>
      <w:pPr>
        <w:spacing w:after="0" w:line="169" w:lineRule="exact"/>
        <w:rPr>
          <w:sz w:val="24"/>
          <w:szCs w:val="24"/>
          <w:color w:val="auto"/>
        </w:rPr>
      </w:pPr>
    </w:p>
    <w:p>
      <w:pPr>
        <w:ind w:left="4020" w:hanging="641"/>
        <w:spacing w:after="0"/>
        <w:tabs>
          <w:tab w:leader="none" w:pos="40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658-7600</w:t>
      </w:r>
    </w:p>
    <w:p>
      <w:pPr>
        <w:spacing w:after="0" w:line="30"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 including area code)</w:t>
      </w:r>
    </w:p>
    <w:p>
      <w:pPr>
        <w:spacing w:after="0" w:line="169"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N/A</w:t>
      </w:r>
    </w:p>
    <w:p>
      <w:pPr>
        <w:spacing w:after="0" w:line="29"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w:t>
      </w:r>
    </w:p>
    <w:p>
      <w:pPr>
        <w:ind w:left="960"/>
        <w:spacing w:after="0"/>
        <w:rPr>
          <w:sz w:val="20"/>
          <w:szCs w:val="20"/>
          <w:color w:val="auto"/>
        </w:rPr>
      </w:pPr>
      <w:r>
        <w:rPr>
          <w:rFonts w:ascii="Courier New" w:cs="Courier New" w:eastAsia="Courier New" w:hAnsi="Courier New"/>
          <w:sz w:val="16"/>
          <w:szCs w:val="16"/>
          <w:color w:val="auto"/>
        </w:rPr>
        <w:t>(Former Name or Former Address, if Changed Since Last Report)</w:t>
      </w:r>
    </w:p>
    <w:p>
      <w:pPr>
        <w:sectPr>
          <w:pgSz w:w="11900" w:h="16838" w:orient="portrait"/>
          <w:cols w:equalWidth="0" w:num="1">
            <w:col w:w="10219"/>
          </w:cols>
          <w:pgMar w:left="240" w:top="623" w:right="1440" w:bottom="1440" w:gutter="0" w:footer="0" w:header="0"/>
          <w:type w:val="continuous"/>
        </w:sectPr>
      </w:pPr>
    </w:p>
    <w:bookmarkStart w:id="1" w:name="page2"/>
    <w:bookmarkEnd w:id="1"/>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1" w:lineRule="exact"/>
        <w:rPr>
          <w:sz w:val="20"/>
          <w:szCs w:val="20"/>
          <w:color w:val="auto"/>
        </w:rPr>
      </w:pPr>
    </w:p>
    <w:p>
      <w:pPr>
        <w:ind w:right="1779" w:firstLine="527"/>
        <w:spacing w:after="0" w:line="282" w:lineRule="auto"/>
        <w:rPr>
          <w:sz w:val="20"/>
          <w:szCs w:val="20"/>
          <w:color w:val="auto"/>
        </w:rPr>
      </w:pPr>
      <w:r>
        <w:rPr>
          <w:rFonts w:ascii="Courier New" w:cs="Courier New" w:eastAsia="Courier New" w:hAnsi="Courier New"/>
          <w:sz w:val="16"/>
          <w:szCs w:val="16"/>
          <w:color w:val="auto"/>
        </w:rPr>
        <w:t>On December 12, 2000, the registrant announced that it had expanded its collaboration with Taisho Pharmaceutical Co., LTD., providing to Taisho the exclusive rights to develop and commercialize the registrant's altered peptide ligand product candidate for the treatment of diabetes in North America and other countries outside of Europe and Asia. The full text of the registrant's press release is set forth in Exhibit 99.1 attached hereto and is incorporated in this report as if fully set forth herein. The amendment to the registrant's license agreement with Taisho is set forth in Exhibit 99.2 hereto and is incorporated in this report as if fully set forth herein. Confidential treatment has been requested as to certain portions of this exhibit pursuant to Rule 24b-2 under the Securities Exchange Act of 1934, as amended. Confidential portions will be filed separately with the Securities an Exchange Commission.</w:t>
      </w:r>
    </w:p>
    <w:p>
      <w:pPr>
        <w:spacing w:after="0" w:line="7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691" w:right="1440" w:bottom="1440" w:gutter="0" w:footer="0" w:header="0"/>
        </w:sectPr>
      </w:pPr>
    </w:p>
    <w:bookmarkStart w:id="2" w:name="page3"/>
    <w:bookmarkEnd w:id="2"/>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Pro Forma Financial Information and Exhibits.</w:t>
      </w:r>
    </w:p>
    <w:p>
      <w:pPr>
        <w:spacing w:after="0" w:line="201" w:lineRule="exact"/>
        <w:rPr>
          <w:sz w:val="20"/>
          <w:szCs w:val="20"/>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exhibits are filed as part of this Report:</w:t>
      </w:r>
    </w:p>
    <w:p>
      <w:pPr>
        <w:spacing w:after="0" w:line="201"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No.</w:t>
      </w:r>
      <w:r>
        <w:rPr>
          <w:sz w:val="20"/>
          <w:szCs w:val="20"/>
          <w:color w:val="auto"/>
        </w:rPr>
        <w:tab/>
      </w:r>
      <w:r>
        <w:rPr>
          <w:rFonts w:ascii="Courier New" w:cs="Courier New" w:eastAsia="Courier New" w:hAnsi="Courier New"/>
          <w:sz w:val="18"/>
          <w:szCs w:val="18"/>
          <w:color w:val="auto"/>
        </w:rPr>
        <w:t>Exhibit</w:t>
      </w:r>
    </w:p>
    <w:p>
      <w:pPr>
        <w:spacing w:after="0" w:line="29" w:lineRule="exact"/>
        <w:rPr>
          <w:sz w:val="20"/>
          <w:szCs w:val="20"/>
          <w:color w:val="auto"/>
        </w:rPr>
      </w:pPr>
    </w:p>
    <w:p>
      <w:pPr>
        <w:ind w:left="1900" w:hanging="944"/>
        <w:spacing w:after="0"/>
        <w:tabs>
          <w:tab w:leader="none" w:pos="19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tbl>
      <w:tblPr>
        <w:tblLayout w:type="fixed"/>
        <w:tblInd w:w="960" w:type="dxa"/>
        <w:tblCellMar>
          <w:top w:w="0" w:type="dxa"/>
          <w:left w:w="0" w:type="dxa"/>
          <w:bottom w:w="0" w:type="dxa"/>
          <w:right w:w="0" w:type="dxa"/>
        </w:tblCellMar>
      </w:tblPr>
      <w:tr>
        <w:trPr>
          <w:trHeight w:val="171"/>
        </w:trPr>
        <w:tc>
          <w:tcPr>
            <w:tcW w:w="780" w:type="dxa"/>
            <w:vAlign w:val="bottom"/>
          </w:tcPr>
          <w:p>
            <w:pPr>
              <w:spacing w:after="0" w:line="170" w:lineRule="exact"/>
              <w:rPr>
                <w:sz w:val="20"/>
                <w:szCs w:val="20"/>
                <w:color w:val="auto"/>
              </w:rPr>
            </w:pPr>
            <w:r>
              <w:rPr>
                <w:rFonts w:ascii="Courier New" w:cs="Courier New" w:eastAsia="Courier New" w:hAnsi="Courier New"/>
                <w:sz w:val="18"/>
                <w:szCs w:val="18"/>
                <w:color w:val="auto"/>
              </w:rPr>
              <w:t>99.1</w:t>
            </w:r>
          </w:p>
        </w:tc>
        <w:tc>
          <w:tcPr>
            <w:tcW w:w="1580" w:type="dxa"/>
            <w:vAlign w:val="bottom"/>
            <w:gridSpan w:val="2"/>
          </w:tcPr>
          <w:p>
            <w:pPr>
              <w:ind w:left="160"/>
              <w:spacing w:after="0" w:line="170" w:lineRule="exact"/>
              <w:rPr>
                <w:sz w:val="20"/>
                <w:szCs w:val="20"/>
                <w:color w:val="auto"/>
              </w:rPr>
            </w:pPr>
            <w:r>
              <w:rPr>
                <w:rFonts w:ascii="Courier New" w:cs="Courier New" w:eastAsia="Courier New" w:hAnsi="Courier New"/>
                <w:sz w:val="18"/>
                <w:szCs w:val="18"/>
                <w:color w:val="auto"/>
                <w:w w:val="99"/>
              </w:rPr>
              <w:t>Press Release</w:t>
            </w:r>
          </w:p>
        </w:tc>
        <w:tc>
          <w:tcPr>
            <w:tcW w:w="3280" w:type="dxa"/>
            <w:vAlign w:val="bottom"/>
            <w:gridSpan w:val="2"/>
          </w:tcPr>
          <w:p>
            <w:pPr>
              <w:ind w:left="60"/>
              <w:spacing w:after="0" w:line="170" w:lineRule="exact"/>
              <w:rPr>
                <w:sz w:val="20"/>
                <w:szCs w:val="20"/>
                <w:color w:val="auto"/>
              </w:rPr>
            </w:pPr>
            <w:r>
              <w:rPr>
                <w:rFonts w:ascii="Courier New" w:cs="Courier New" w:eastAsia="Courier New" w:hAnsi="Courier New"/>
                <w:sz w:val="18"/>
                <w:szCs w:val="18"/>
                <w:color w:val="auto"/>
              </w:rPr>
              <w:t>dated December 12, 2000.</w:t>
            </w:r>
          </w:p>
        </w:tc>
        <w:tc>
          <w:tcPr>
            <w:tcW w:w="1520" w:type="dxa"/>
            <w:vAlign w:val="bottom"/>
            <w:vMerge w:val="restart"/>
          </w:tcPr>
          <w:p>
            <w:pPr>
              <w:ind w:left="40"/>
              <w:spacing w:after="0"/>
              <w:rPr>
                <w:sz w:val="20"/>
                <w:szCs w:val="20"/>
                <w:color w:val="auto"/>
              </w:rPr>
            </w:pPr>
            <w:r>
              <w:rPr>
                <w:rFonts w:ascii="Courier New" w:cs="Courier New" w:eastAsia="Courier New" w:hAnsi="Courier New"/>
                <w:sz w:val="18"/>
                <w:szCs w:val="18"/>
                <w:color w:val="auto"/>
                <w:w w:val="96"/>
              </w:rPr>
              <w:t>to the License</w:t>
            </w:r>
          </w:p>
        </w:tc>
        <w:tc>
          <w:tcPr>
            <w:tcW w:w="0" w:type="dxa"/>
            <w:vAlign w:val="bottom"/>
          </w:tcPr>
          <w:p>
            <w:pPr>
              <w:spacing w:after="0"/>
              <w:rPr>
                <w:sz w:val="1"/>
                <w:szCs w:val="1"/>
                <w:color w:val="auto"/>
              </w:rPr>
            </w:pPr>
          </w:p>
        </w:tc>
      </w:tr>
      <w:tr>
        <w:trPr>
          <w:trHeight w:val="203"/>
        </w:trPr>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99.2**</w:t>
            </w:r>
          </w:p>
        </w:tc>
        <w:tc>
          <w:tcPr>
            <w:tcW w:w="232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9"/>
              </w:rPr>
              <w:t>Amendment Number One</w:t>
            </w:r>
          </w:p>
        </w:tc>
        <w:tc>
          <w:tcPr>
            <w:tcW w:w="2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dated November 30, 2000</w:t>
            </w: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Agreement</w:t>
            </w:r>
          </w:p>
        </w:tc>
        <w:tc>
          <w:tcPr>
            <w:tcW w:w="1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dated July</w:t>
            </w:r>
          </w:p>
        </w:tc>
        <w:tc>
          <w:tcPr>
            <w:tcW w:w="2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21, 2000 between Taisho</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Pharmaceutical</w:t>
            </w:r>
          </w:p>
        </w:tc>
        <w:tc>
          <w:tcPr>
            <w:tcW w:w="0" w:type="dxa"/>
            <w:vAlign w:val="bottom"/>
          </w:tcPr>
          <w:p>
            <w:pPr>
              <w:spacing w:after="0"/>
              <w:rPr>
                <w:sz w:val="1"/>
                <w:szCs w:val="1"/>
                <w:color w:val="auto"/>
              </w:rPr>
            </w:pPr>
          </w:p>
        </w:tc>
      </w:tr>
      <w:tr>
        <w:trPr>
          <w:trHeight w:val="296"/>
        </w:trPr>
        <w:tc>
          <w:tcPr>
            <w:tcW w:w="780" w:type="dxa"/>
            <w:vAlign w:val="bottom"/>
          </w:tcPr>
          <w:p>
            <w:pPr>
              <w:spacing w:after="0"/>
              <w:rPr>
                <w:sz w:val="24"/>
                <w:szCs w:val="24"/>
                <w:color w:val="auto"/>
              </w:rPr>
            </w:pPr>
          </w:p>
        </w:tc>
        <w:tc>
          <w:tcPr>
            <w:tcW w:w="1160" w:type="dxa"/>
            <w:vAlign w:val="bottom"/>
          </w:tcPr>
          <w:p>
            <w:pPr>
              <w:ind w:left="160"/>
              <w:spacing w:after="0"/>
              <w:rPr>
                <w:sz w:val="20"/>
                <w:szCs w:val="20"/>
                <w:color w:val="auto"/>
              </w:rPr>
            </w:pPr>
            <w:r>
              <w:rPr>
                <w:rFonts w:ascii="Courier New" w:cs="Courier New" w:eastAsia="Courier New" w:hAnsi="Courier New"/>
                <w:sz w:val="18"/>
                <w:szCs w:val="18"/>
                <w:color w:val="auto"/>
              </w:rPr>
              <w:t>Co., LTD.</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and</w:t>
            </w:r>
          </w:p>
        </w:tc>
        <w:tc>
          <w:tcPr>
            <w:tcW w:w="32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the registrant.</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right="1879" w:firstLine="8"/>
        <w:spacing w:after="0" w:line="265"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treatment has been requested as to certain portions of this agreement. Such omitted confidential information has been designated by an asterisk and has been filed separately with the Securities and Exchange Commission pursuant to Rule 24b-2 under the Securities Exchange Act of 1934, as amended, pursuant to an application for confidential treatment.</w:t>
      </w:r>
    </w:p>
    <w:p>
      <w:pPr>
        <w:spacing w:after="0" w:line="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691"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2099" w:firstLine="527"/>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66" w:lineRule="exact"/>
        <w:rPr>
          <w:sz w:val="20"/>
          <w:szCs w:val="20"/>
          <w:color w:val="auto"/>
        </w:rPr>
      </w:pPr>
    </w:p>
    <w:p>
      <w:pPr>
        <w:jc w:val="center"/>
        <w:ind w:right="-960"/>
        <w:spacing w:after="0"/>
        <w:rPr>
          <w:sz w:val="20"/>
          <w:szCs w:val="20"/>
          <w:color w:val="auto"/>
        </w:rPr>
      </w:pPr>
      <w:r>
        <w:rPr>
          <w:rFonts w:ascii="Courier New" w:cs="Courier New" w:eastAsia="Courier New" w:hAnsi="Courier New"/>
          <w:sz w:val="18"/>
          <w:szCs w:val="18"/>
          <w:color w:val="auto"/>
        </w:rPr>
        <w:t>NEUROCRINE BIOSCIENCES, INC.</w:t>
      </w:r>
    </w:p>
    <w:p>
      <w:pPr>
        <w:spacing w:after="0" w:line="31" w:lineRule="exact"/>
        <w:rPr>
          <w:sz w:val="20"/>
          <w:szCs w:val="20"/>
          <w:color w:val="auto"/>
        </w:rPr>
      </w:pPr>
    </w:p>
    <w:p>
      <w:pPr>
        <w:jc w:val="center"/>
        <w:ind w:right="-960"/>
        <w:spacing w:after="0"/>
        <w:rPr>
          <w:sz w:val="20"/>
          <w:szCs w:val="20"/>
          <w:color w:val="auto"/>
        </w:rPr>
      </w:pPr>
      <w:r>
        <w:rPr>
          <w:rFonts w:ascii="Courier New" w:cs="Courier New" w:eastAsia="Courier New" w:hAnsi="Courier New"/>
          <w:sz w:val="18"/>
          <w:szCs w:val="18"/>
          <w:color w:val="auto"/>
        </w:rPr>
        <w:t>(Registrant)</w:t>
      </w:r>
    </w:p>
    <w:p>
      <w:pPr>
        <w:spacing w:after="0" w:line="37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 Gary A. Lyons</w:t>
      </w:r>
    </w:p>
    <w:p>
      <w:pPr>
        <w:spacing w:after="0" w:line="29"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w:t>
      </w:r>
    </w:p>
    <w:p>
      <w:pPr>
        <w:ind w:left="4540"/>
        <w:spacing w:after="0" w:line="238" w:lineRule="auto"/>
        <w:rPr>
          <w:sz w:val="20"/>
          <w:szCs w:val="20"/>
          <w:color w:val="auto"/>
        </w:rPr>
      </w:pPr>
      <w:r>
        <w:rPr>
          <w:rFonts w:ascii="Courier New" w:cs="Courier New" w:eastAsia="Courier New" w:hAnsi="Courier New"/>
          <w:sz w:val="18"/>
          <w:szCs w:val="18"/>
          <w:color w:val="auto"/>
        </w:rPr>
        <w:t>Gary A. Lyons</w:t>
      </w:r>
    </w:p>
    <w:p>
      <w:pPr>
        <w:ind w:left="4540"/>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39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December 15, 2000</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691" w:right="1440" w:bottom="1440" w:gutter="0" w:footer="0" w:header="0"/>
        </w:sectPr>
      </w:pPr>
    </w:p>
    <w:bookmarkStart w:id="4" w:name="page5"/>
    <w:bookmarkEnd w:id="4"/>
    <w:p>
      <w:pPr>
        <w:ind w:left="34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691"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3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ectPr>
          <w:pgSz w:w="11900" w:h="16838" w:orient="portrait"/>
          <w:cols w:equalWidth="0" w:num="2">
            <w:col w:w="540" w:space="320"/>
            <w:col w:w="935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99.1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99.2**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Press Release dated December 12, 2000.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Amendment Number One dated November 30, 2000 to the License Agreement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July 21, 2000 between Taisho Pharmaceutical Co., LTD. and the</w:t>
      </w:r>
    </w:p>
    <w:p>
      <w:pPr>
        <w:spacing w:after="0"/>
        <w:rPr>
          <w:sz w:val="20"/>
          <w:szCs w:val="20"/>
          <w:color w:val="auto"/>
        </w:rPr>
      </w:pPr>
      <w:r>
        <w:rPr>
          <w:rFonts w:ascii="Courier New" w:cs="Courier New" w:eastAsia="Courier New" w:hAnsi="Courier New"/>
          <w:sz w:val="18"/>
          <w:szCs w:val="18"/>
          <w:color w:val="auto"/>
        </w:rPr>
        <w:t>registrant.</w:t>
      </w:r>
    </w:p>
    <w:p>
      <w:pPr>
        <w:spacing w:after="0" w:line="169" w:lineRule="exact"/>
        <w:rPr>
          <w:sz w:val="20"/>
          <w:szCs w:val="20"/>
          <w:color w:val="auto"/>
        </w:rPr>
      </w:pPr>
    </w:p>
    <w:p>
      <w:pPr>
        <w:sectPr>
          <w:pgSz w:w="11900" w:h="16838" w:orient="portrait"/>
          <w:cols w:equalWidth="0" w:num="2">
            <w:col w:w="640" w:space="220"/>
            <w:col w:w="9359"/>
          </w:cols>
          <w:pgMar w:left="240" w:top="691" w:right="1440" w:bottom="1440" w:gutter="0" w:footer="0" w:header="0"/>
          <w:type w:val="continuous"/>
        </w:sectPr>
      </w:pPr>
    </w:p>
    <w:p>
      <w:pPr>
        <w:ind w:right="1879" w:firstLine="8"/>
        <w:spacing w:after="0" w:line="265"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treatment has been requested as to certain portions of this agreement. Such omitted confidential information has been designated by an asterisk and has been filed separately with the Securities and Exchange Commission pursuant to Rule 24b-2 under the Securities Exchange Act of 1934, as amended, pursuant to an application for confidential treatment.</w:t>
      </w:r>
    </w:p>
    <w:p>
      <w:pPr>
        <w:spacing w:after="0" w:line="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691" w:right="1440" w:bottom="1440" w:gutter="0" w:footer="0" w:header="0"/>
          <w:type w:val="continuous"/>
        </w:sectPr>
      </w:pPr>
    </w:p>
    <w:bookmarkStart w:id="5" w:name="page6"/>
    <w:bookmarkEnd w:id="5"/>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3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PRESS RELEASE</w:t>
      </w:r>
    </w:p>
    <w:p>
      <w:pPr>
        <w:spacing w:after="0" w:line="169" w:lineRule="exact"/>
        <w:rPr>
          <w:sz w:val="20"/>
          <w:szCs w:val="20"/>
          <w:color w:val="auto"/>
        </w:rPr>
      </w:pPr>
    </w:p>
    <w:p>
      <w:pPr>
        <w:ind w:right="3359"/>
        <w:spacing w:after="0" w:line="347" w:lineRule="auto"/>
        <w:rPr>
          <w:sz w:val="20"/>
          <w:szCs w:val="20"/>
          <w:color w:val="auto"/>
        </w:rPr>
      </w:pPr>
      <w:r>
        <w:rPr>
          <w:rFonts w:ascii="Courier New" w:cs="Courier New" w:eastAsia="Courier New" w:hAnsi="Courier New"/>
          <w:sz w:val="18"/>
          <w:szCs w:val="18"/>
          <w:color w:val="auto"/>
        </w:rPr>
        <w:t>NEUROCRINE BIOSCIENCES EXPANDS DIABETES COLLABORATION WITH TAISHO PHARMACEUTICALS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Collaboration to Include Worldwide Rights to APL Diabetes Product Candidate</w:t>
      </w:r>
    </w:p>
    <w:p>
      <w:pPr>
        <w:spacing w:after="0" w:line="224" w:lineRule="exact"/>
        <w:rPr>
          <w:sz w:val="20"/>
          <w:szCs w:val="20"/>
          <w:color w:val="auto"/>
        </w:rPr>
      </w:pPr>
    </w:p>
    <w:p>
      <w:pPr>
        <w:ind w:right="2199" w:firstLine="1053"/>
        <w:spacing w:after="0" w:line="289" w:lineRule="auto"/>
        <w:rPr>
          <w:sz w:val="20"/>
          <w:szCs w:val="20"/>
          <w:color w:val="auto"/>
        </w:rPr>
      </w:pPr>
      <w:r>
        <w:rPr>
          <w:rFonts w:ascii="Courier New" w:cs="Courier New" w:eastAsia="Courier New" w:hAnsi="Courier New"/>
          <w:sz w:val="16"/>
          <w:szCs w:val="16"/>
          <w:color w:val="auto"/>
        </w:rPr>
        <w:t>SAN DIEGO--(BW HealthWire)--Dec. 12, 2000--Neurocrine Biosciences, Inc. (Nasdaq: NBIX - news) announced today that it has expanded its</w:t>
      </w:r>
    </w:p>
    <w:p>
      <w:pPr>
        <w:ind w:left="1480"/>
        <w:spacing w:after="0"/>
        <w:tabs>
          <w:tab w:leader="none" w:pos="22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right="1779"/>
        <w:spacing w:after="0" w:line="262" w:lineRule="auto"/>
        <w:rPr>
          <w:sz w:val="20"/>
          <w:szCs w:val="20"/>
          <w:color w:val="auto"/>
        </w:rPr>
      </w:pPr>
      <w:r>
        <w:rPr>
          <w:rFonts w:ascii="Courier New" w:cs="Courier New" w:eastAsia="Courier New" w:hAnsi="Courier New"/>
          <w:sz w:val="18"/>
          <w:szCs w:val="18"/>
          <w:color w:val="auto"/>
        </w:rPr>
        <w:t>collaboration with Taisho Pharmaceutical Co., LTD., providing to Taisho the exclusive rights to develop and commercialize Neurocrine's altered peptide ligand (APL) for diabetes in North America and other countries outside of Europe and Asia.</w:t>
      </w:r>
    </w:p>
    <w:p>
      <w:pPr>
        <w:spacing w:after="0" w:line="90" w:lineRule="exact"/>
        <w:rPr>
          <w:sz w:val="20"/>
          <w:szCs w:val="20"/>
          <w:color w:val="auto"/>
        </w:rPr>
      </w:pPr>
    </w:p>
    <w:p>
      <w:pPr>
        <w:ind w:right="1999" w:firstLine="1053"/>
        <w:spacing w:after="0" w:line="249" w:lineRule="auto"/>
        <w:rPr>
          <w:sz w:val="20"/>
          <w:szCs w:val="20"/>
          <w:color w:val="auto"/>
        </w:rPr>
      </w:pPr>
      <w:r>
        <w:rPr>
          <w:rFonts w:ascii="Courier New" w:cs="Courier New" w:eastAsia="Courier New" w:hAnsi="Courier New"/>
          <w:sz w:val="18"/>
          <w:szCs w:val="18"/>
          <w:color w:val="auto"/>
        </w:rPr>
        <w:t>In July 2000, Neurocrine licensed to Taisho the exclusive rights to develop and commercialize NBI-6024 in Europe and Asia. With the expanded agreement, Neurocrine and Taisho will collaborate in the worldwide clinical development of NBI-6024 and Neurocrine will receive funding for activities it conducts on behalf of the collaboration. The worldwide collaboration is valued at up to $100 million, including all potential licensing fees, purchase fees, milestones and development expenses. In addition, Neurocrine will receive payments based on any future sales of NBI-6024. Neurocrine has or expects to receive a total of approximately $12 million during 2000 under the worldwide collaboration. NBI-6024 is currently in Phase I/II clinical trials, with Phase II trials planned for 2001.</w:t>
      </w:r>
    </w:p>
    <w:p>
      <w:pPr>
        <w:spacing w:after="0" w:line="104" w:lineRule="exact"/>
        <w:rPr>
          <w:sz w:val="20"/>
          <w:szCs w:val="20"/>
          <w:color w:val="auto"/>
        </w:rPr>
      </w:pPr>
    </w:p>
    <w:p>
      <w:pPr>
        <w:ind w:right="2099" w:firstLine="1053"/>
        <w:spacing w:after="0" w:line="306" w:lineRule="auto"/>
        <w:rPr>
          <w:sz w:val="20"/>
          <w:szCs w:val="20"/>
          <w:color w:val="auto"/>
        </w:rPr>
      </w:pPr>
      <w:r>
        <w:rPr>
          <w:rFonts w:ascii="Courier New" w:cs="Courier New" w:eastAsia="Courier New" w:hAnsi="Courier New"/>
          <w:sz w:val="16"/>
          <w:szCs w:val="16"/>
          <w:color w:val="auto"/>
        </w:rPr>
        <w:t>"The continued success of this clinical program has led to the expansion of our agreement with Taisho. We believe a coordinated worldwide collaboration between Taisho and Neurocrine will benefit from both companies' strengths and get this important product to market quickly," said Gary Lyons, president and chief executive officer of Neurocrine Biosciences, Inc.</w:t>
      </w:r>
    </w:p>
    <w:p>
      <w:pPr>
        <w:spacing w:after="0" w:line="60" w:lineRule="exact"/>
        <w:rPr>
          <w:sz w:val="20"/>
          <w:szCs w:val="20"/>
          <w:color w:val="auto"/>
        </w:rPr>
      </w:pPr>
    </w:p>
    <w:p>
      <w:pPr>
        <w:ind w:right="1879" w:firstLine="1053"/>
        <w:spacing w:after="0" w:line="274" w:lineRule="auto"/>
        <w:rPr>
          <w:sz w:val="20"/>
          <w:szCs w:val="20"/>
          <w:color w:val="auto"/>
        </w:rPr>
      </w:pPr>
      <w:r>
        <w:rPr>
          <w:rFonts w:ascii="Courier New" w:cs="Courier New" w:eastAsia="Courier New" w:hAnsi="Courier New"/>
          <w:sz w:val="18"/>
          <w:szCs w:val="18"/>
          <w:color w:val="auto"/>
        </w:rPr>
        <w:t>NBI-6024 is based on Neurocrine's proprietary APL technology platform which was discovered and developed by Neurocrine scientists and co-founder, Dr. Larry Steinman, M.D., professor, Department of Neurology and Neurological Sciences, Stanford University School of Medicine.</w:t>
      </w:r>
    </w:p>
    <w:p>
      <w:pPr>
        <w:spacing w:after="0" w:line="82" w:lineRule="exact"/>
        <w:rPr>
          <w:sz w:val="20"/>
          <w:szCs w:val="20"/>
          <w:color w:val="auto"/>
        </w:rPr>
      </w:pPr>
    </w:p>
    <w:p>
      <w:pPr>
        <w:ind w:right="1779" w:firstLine="1053"/>
        <w:spacing w:after="0" w:line="256" w:lineRule="auto"/>
        <w:rPr>
          <w:sz w:val="20"/>
          <w:szCs w:val="20"/>
          <w:color w:val="auto"/>
        </w:rPr>
      </w:pPr>
      <w:r>
        <w:rPr>
          <w:rFonts w:ascii="Courier New" w:cs="Courier New" w:eastAsia="Courier New" w:hAnsi="Courier New"/>
          <w:sz w:val="18"/>
          <w:szCs w:val="18"/>
          <w:color w:val="auto"/>
        </w:rPr>
        <w:t>"With the encouraging Phase I data that is currently being generated, we are very excited about the opportunity of beginning testing this drug in both adult and pediatric diabetes patients next month at the Barbara Davis Clinic," said Dr. George Eisenbarth, executive director of the Barbara Davis Center for Childhood Diabetes, Professor, University of Colorado. "In this trial we will be specifically looking for a slowing of the progression of the disease and an alteration of the immune response in these patients."</w:t>
      </w:r>
    </w:p>
    <w:p>
      <w:pPr>
        <w:spacing w:after="0" w:line="98" w:lineRule="exact"/>
        <w:rPr>
          <w:sz w:val="20"/>
          <w:szCs w:val="20"/>
          <w:color w:val="auto"/>
        </w:rPr>
      </w:pPr>
    </w:p>
    <w:p>
      <w:pPr>
        <w:ind w:right="2739" w:firstLine="1053"/>
        <w:spacing w:after="0" w:line="292" w:lineRule="auto"/>
        <w:rPr>
          <w:sz w:val="20"/>
          <w:szCs w:val="20"/>
          <w:color w:val="auto"/>
        </w:rPr>
      </w:pPr>
      <w:r>
        <w:rPr>
          <w:rFonts w:ascii="Courier New" w:cs="Courier New" w:eastAsia="Courier New" w:hAnsi="Courier New"/>
          <w:sz w:val="18"/>
          <w:szCs w:val="18"/>
          <w:color w:val="auto"/>
        </w:rPr>
        <w:t>"Type I diabetes is caused when immune cells in the patient erroneously target and destroy the pancreatic cells responsible for the production of insulin," said Bruce Campbell,</w:t>
      </w:r>
    </w:p>
    <w:p>
      <w:pPr>
        <w:sectPr>
          <w:pgSz w:w="11900" w:h="16838" w:orient="portrait"/>
          <w:cols w:equalWidth="0" w:num="1">
            <w:col w:w="10219"/>
          </w:cols>
          <w:pgMar w:left="240" w:top="515" w:right="1440" w:bottom="1440" w:gutter="0" w:footer="0" w:header="0"/>
        </w:sectPr>
      </w:pPr>
    </w:p>
    <w:bookmarkStart w:id="6" w:name="page7"/>
    <w:bookmarkEnd w:id="6"/>
    <w:p>
      <w:pPr>
        <w:ind w:right="1879"/>
        <w:spacing w:after="0" w:line="265" w:lineRule="auto"/>
        <w:rPr>
          <w:sz w:val="20"/>
          <w:szCs w:val="20"/>
          <w:color w:val="auto"/>
        </w:rPr>
      </w:pPr>
      <w:r>
        <w:rPr>
          <w:rFonts w:ascii="Courier New" w:cs="Courier New" w:eastAsia="Courier New" w:hAnsi="Courier New"/>
          <w:sz w:val="18"/>
          <w:szCs w:val="18"/>
          <w:color w:val="auto"/>
        </w:rPr>
        <w:t>senior vice president of Development of Neurocrine Biosciences Inc. "We believe that an altered peptide ligand specific for these immune cells may stop the destruction of the insulin-secreting cells in pre-diabetic patients, allowing them to delay dependence on insulin therapy or possibly avoid insulin therapy all together."</w:t>
      </w:r>
    </w:p>
    <w:p>
      <w:pPr>
        <w:spacing w:after="0" w:line="90" w:lineRule="exact"/>
        <w:rPr>
          <w:sz w:val="20"/>
          <w:szCs w:val="20"/>
          <w:color w:val="auto"/>
        </w:rPr>
      </w:pPr>
    </w:p>
    <w:p>
      <w:pPr>
        <w:ind w:right="1779" w:firstLine="1053"/>
        <w:spacing w:after="0" w:line="260" w:lineRule="auto"/>
        <w:rPr>
          <w:sz w:val="20"/>
          <w:szCs w:val="20"/>
          <w:color w:val="auto"/>
        </w:rPr>
      </w:pPr>
      <w:r>
        <w:rPr>
          <w:rFonts w:ascii="Courier New" w:cs="Courier New" w:eastAsia="Courier New" w:hAnsi="Courier New"/>
          <w:sz w:val="18"/>
          <w:szCs w:val="18"/>
          <w:color w:val="auto"/>
        </w:rPr>
        <w:t>Type I diabetes is one of the most prevalent chronic childhood conditions in North America, afflicting approximately one million patients in North America in 1999. Diabetics often suffer from a number of complications of the disease including heart disease, circulatory problems, kidney failure, neurologic disorders and blindness. Current therapy for Type I diabetes consists of daily insulin injections to regulate blood glucose levels.</w:t>
      </w:r>
    </w:p>
    <w:p>
      <w:pPr>
        <w:spacing w:after="0" w:line="93" w:lineRule="exact"/>
        <w:rPr>
          <w:sz w:val="20"/>
          <w:szCs w:val="20"/>
          <w:color w:val="auto"/>
        </w:rPr>
      </w:pPr>
    </w:p>
    <w:p>
      <w:pPr>
        <w:ind w:right="1779" w:firstLine="1053"/>
        <w:spacing w:after="0" w:line="248" w:lineRule="auto"/>
        <w:rPr>
          <w:sz w:val="20"/>
          <w:szCs w:val="20"/>
          <w:color w:val="auto"/>
        </w:rPr>
      </w:pPr>
      <w:r>
        <w:rPr>
          <w:rFonts w:ascii="Courier New" w:cs="Courier New" w:eastAsia="Courier New" w:hAnsi="Courier New"/>
          <w:sz w:val="18"/>
          <w:szCs w:val="18"/>
          <w:color w:val="auto"/>
        </w:rPr>
        <w:t>In preclinical models NBI-6024 was capable of eliciting a protective immune response and reducing the incidence of diabetes. In addition, experiments using immune cells derived from the blood of Type I diabetes patients indicate that NBI-6024 is recognized by patients' immune cells. This suggests that NBI-6024 may have the potential to intervene in the disease process in humans. Neurocrine has completed a single dose Phase I safety and dose escalating clinical program in 20 diabetic patients and has shown that NBI-6024 is safe and well tolerated. In addition, multidose studies are underway and a further 30 patients have been treated. In 2001, Neurocrine in collaboration with Taisho expects to initiate Phase II studies to assess the safety and biological activity of multiple doses of NBI-6024 in adult and adolescent and pediatric patients with Type I diabetes.</w:t>
      </w:r>
    </w:p>
    <w:p>
      <w:pPr>
        <w:spacing w:after="0" w:line="105" w:lineRule="exact"/>
        <w:rPr>
          <w:sz w:val="20"/>
          <w:szCs w:val="20"/>
          <w:color w:val="auto"/>
        </w:rPr>
      </w:pPr>
    </w:p>
    <w:p>
      <w:pPr>
        <w:ind w:right="1879" w:firstLine="1053"/>
        <w:spacing w:after="0" w:line="274" w:lineRule="auto"/>
        <w:rPr>
          <w:sz w:val="20"/>
          <w:szCs w:val="20"/>
          <w:color w:val="auto"/>
        </w:rPr>
      </w:pPr>
      <w:r>
        <w:rPr>
          <w:rFonts w:ascii="Courier New" w:cs="Courier New" w:eastAsia="Courier New" w:hAnsi="Courier New"/>
          <w:sz w:val="18"/>
          <w:szCs w:val="18"/>
          <w:color w:val="auto"/>
        </w:rPr>
        <w:t>Neurocrine Biosciences is a neuroscience based research and development biopharmaceutical company focused on the development of therapeutic products in the areas of anxiety, depression, insomnia, malignant brain tumors, diabetes and multiple sclerosis.</w:t>
      </w:r>
    </w:p>
    <w:p>
      <w:pPr>
        <w:spacing w:after="0" w:line="82" w:lineRule="exact"/>
        <w:rPr>
          <w:sz w:val="20"/>
          <w:szCs w:val="20"/>
          <w:color w:val="auto"/>
        </w:rPr>
      </w:pPr>
    </w:p>
    <w:p>
      <w:pPr>
        <w:ind w:right="1999" w:firstLine="1053"/>
        <w:spacing w:after="0" w:line="257" w:lineRule="auto"/>
        <w:rPr>
          <w:sz w:val="20"/>
          <w:szCs w:val="20"/>
          <w:color w:val="auto"/>
        </w:rPr>
      </w:pPr>
      <w:r>
        <w:rPr>
          <w:rFonts w:ascii="Courier New" w:cs="Courier New" w:eastAsia="Courier New" w:hAnsi="Courier New"/>
          <w:sz w:val="18"/>
          <w:szCs w:val="18"/>
          <w:color w:val="auto"/>
        </w:rPr>
        <w:t>Neurocrine Biosciences, Inc. news releases are available through the company's Web site via the Internet at http://www.neurocrine.com.</w:t>
      </w:r>
    </w:p>
    <w:p>
      <w:pPr>
        <w:ind w:left="412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779" w:firstLine="1053"/>
        <w:spacing w:after="0" w:line="244" w:lineRule="auto"/>
        <w:rPr>
          <w:sz w:val="20"/>
          <w:szCs w:val="20"/>
          <w:color w:val="auto"/>
        </w:rPr>
      </w:pPr>
      <w:r>
        <w:rPr>
          <w:rFonts w:ascii="Courier New" w:cs="Courier New" w:eastAsia="Courier New" w:hAnsi="Courier New"/>
          <w:sz w:val="18"/>
          <w:szCs w:val="18"/>
          <w:color w:val="auto"/>
        </w:rPr>
        <w:t>In addition to historical facts, this press release contains forward-looking statements, such as the estimate of the total potential value of the collaboration with Taisho. Following industry custom, this estimate includes all potential payments that Neurocrine could receive over the life of the collaboration; it is not an estimate of the payments Neurocrine actually expects to receive, which may be lower. The amounts that will actually be received, and the matters discussed in the other forward-looking statements generally, involve a number of risks and uncertainties. Among the factors that could cause actual results to differ materially from those indicated in the forward looking statements are risks and uncertainties associated with Neurocrine's research and development programs and business and finances including, but not limited to, risks and uncertainties associated with, or arising out of, drug discovery, pre-clinical and clinical development of products including risk that research may not generate development candidates, development candidates will not successfully proceed through early clinical trials or that in later stage clinical trials will not show that they are effective in treating humans; determinations by regulatory and governmental authorities; changes in relationships with strategic partners and dependence upon strategic partners for performance of clinical and</w:t>
      </w:r>
    </w:p>
    <w:p>
      <w:pPr>
        <w:spacing w:after="0" w:line="1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691" w:right="1440" w:bottom="1440" w:gutter="0" w:footer="0" w:header="0"/>
        </w:sectPr>
      </w:pPr>
    </w:p>
    <w:bookmarkStart w:id="7" w:name="page8"/>
    <w:bookmarkEnd w:id="7"/>
    <w:p>
      <w:pPr>
        <w:ind w:right="1779"/>
        <w:spacing w:after="0" w:line="249" w:lineRule="auto"/>
        <w:rPr>
          <w:sz w:val="20"/>
          <w:szCs w:val="20"/>
          <w:color w:val="auto"/>
        </w:rPr>
      </w:pPr>
      <w:r>
        <w:rPr>
          <w:rFonts w:ascii="Courier New" w:cs="Courier New" w:eastAsia="Courier New" w:hAnsi="Courier New"/>
          <w:sz w:val="18"/>
          <w:szCs w:val="18"/>
          <w:color w:val="auto"/>
        </w:rPr>
        <w:t>commercialization activities under collaborative agreements including potential for any collaboration agreement to be terminated without any product success; uncertainties relating to patent protection and intellectual property rights of third parties; impact of competitive products and technological changes; availability of capital and cost of capital; and other material risks. A more complete description of these risks can be found in Neurocrine's Form 10-K for the year ended Dec. 31, 1999, as amended, its most recent Form 10-Q and its most recent registration statement, as filed with the Securities and Exchange Commission, each of which should be read before making any investment in Neurocrine common stock. Neurocrine undertakes no obligation to update the statements contained in this press release after the date hereof.</w:t>
      </w:r>
    </w:p>
    <w:p>
      <w:pPr>
        <w:spacing w:after="0" w:line="1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691" w:right="1440" w:bottom="1440" w:gutter="0" w:footer="0" w:header="0"/>
        </w:sectPr>
      </w:pPr>
    </w:p>
    <w:bookmarkStart w:id="8" w:name="page9"/>
    <w:bookmarkEnd w:id="8"/>
    <w:p>
      <w:pPr>
        <w:jc w:val="right"/>
        <w:ind w:right="1779"/>
        <w:spacing w:after="0"/>
        <w:rPr>
          <w:sz w:val="20"/>
          <w:szCs w:val="20"/>
          <w:color w:val="auto"/>
        </w:rPr>
      </w:pPr>
      <w:r>
        <w:rPr>
          <w:rFonts w:ascii="Courier New" w:cs="Courier New" w:eastAsia="Courier New" w:hAnsi="Courier New"/>
          <w:sz w:val="18"/>
          <w:szCs w:val="18"/>
          <w:color w:val="auto"/>
        </w:rPr>
        <w:t>EXHIBIT 99.2</w:t>
      </w:r>
    </w:p>
    <w:p>
      <w:pPr>
        <w:spacing w:after="0" w:line="200" w:lineRule="exact"/>
        <w:rPr>
          <w:sz w:val="20"/>
          <w:szCs w:val="20"/>
          <w:color w:val="auto"/>
        </w:rPr>
      </w:pPr>
    </w:p>
    <w:p>
      <w:pPr>
        <w:spacing w:after="0" w:line="204" w:lineRule="exact"/>
        <w:rPr>
          <w:sz w:val="20"/>
          <w:szCs w:val="20"/>
          <w:color w:val="auto"/>
        </w:rPr>
      </w:pPr>
    </w:p>
    <w:p>
      <w:pPr>
        <w:ind w:left="1860"/>
        <w:spacing w:after="0"/>
        <w:rPr>
          <w:sz w:val="20"/>
          <w:szCs w:val="20"/>
          <w:color w:val="auto"/>
        </w:rPr>
      </w:pPr>
      <w:r>
        <w:rPr>
          <w:rFonts w:ascii="Courier New" w:cs="Courier New" w:eastAsia="Courier New" w:hAnsi="Courier New"/>
          <w:sz w:val="18"/>
          <w:szCs w:val="18"/>
          <w:color w:val="auto"/>
        </w:rPr>
        <w:t>AMENDMENT NUMBER ONE</w:t>
      </w:r>
    </w:p>
    <w:p>
      <w:pPr>
        <w:spacing w:after="0" w:line="201"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DATED</w:t>
      </w:r>
    </w:p>
    <w:p>
      <w:pPr>
        <w:spacing w:after="0" w:line="200" w:lineRule="exact"/>
        <w:rPr>
          <w:sz w:val="20"/>
          <w:szCs w:val="20"/>
          <w:color w:val="auto"/>
        </w:rPr>
      </w:pPr>
    </w:p>
    <w:p>
      <w:pPr>
        <w:spacing w:after="0" w:line="204" w:lineRule="exact"/>
        <w:rPr>
          <w:sz w:val="20"/>
          <w:szCs w:val="20"/>
          <w:color w:val="auto"/>
        </w:rPr>
      </w:pPr>
    </w:p>
    <w:p>
      <w:pPr>
        <w:ind w:left="2080"/>
        <w:spacing w:after="0"/>
        <w:rPr>
          <w:sz w:val="20"/>
          <w:szCs w:val="20"/>
          <w:color w:val="auto"/>
        </w:rPr>
      </w:pPr>
      <w:r>
        <w:rPr>
          <w:rFonts w:ascii="Courier New" w:cs="Courier New" w:eastAsia="Courier New" w:hAnsi="Courier New"/>
          <w:sz w:val="18"/>
          <w:szCs w:val="18"/>
          <w:color w:val="auto"/>
        </w:rPr>
        <w:t>November 30, 2000</w:t>
      </w:r>
    </w:p>
    <w:p>
      <w:pPr>
        <w:spacing w:after="0" w:line="201" w:lineRule="exact"/>
        <w:rPr>
          <w:sz w:val="20"/>
          <w:szCs w:val="20"/>
          <w:color w:val="auto"/>
        </w:rPr>
      </w:pPr>
    </w:p>
    <w:p>
      <w:pPr>
        <w:ind w:left="2600"/>
        <w:spacing w:after="0"/>
        <w:rPr>
          <w:sz w:val="20"/>
          <w:szCs w:val="20"/>
          <w:color w:val="auto"/>
        </w:rPr>
      </w:pPr>
      <w:r>
        <w:rPr>
          <w:rFonts w:ascii="Courier New" w:cs="Courier New" w:eastAsia="Courier New" w:hAnsi="Courier New"/>
          <w:sz w:val="18"/>
          <w:szCs w:val="18"/>
          <w:color w:val="auto"/>
        </w:rPr>
        <w:t>To the</w:t>
      </w:r>
    </w:p>
    <w:p>
      <w:pPr>
        <w:spacing w:after="0" w:line="201"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8"/>
          <w:szCs w:val="18"/>
          <w:color w:val="auto"/>
        </w:rPr>
        <w:t>LICENSE AGREEMENT</w:t>
      </w:r>
    </w:p>
    <w:p>
      <w:pPr>
        <w:spacing w:after="0" w:line="201"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8"/>
          <w:szCs w:val="18"/>
          <w:color w:val="auto"/>
        </w:rPr>
        <w:t>DATED</w:t>
      </w:r>
    </w:p>
    <w:p>
      <w:pPr>
        <w:spacing w:after="0" w:line="201"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8"/>
          <w:szCs w:val="18"/>
          <w:color w:val="auto"/>
        </w:rPr>
        <w:t>July 21, 2000</w:t>
      </w:r>
    </w:p>
    <w:p>
      <w:pPr>
        <w:spacing w:after="0" w:line="201" w:lineRule="exact"/>
        <w:rPr>
          <w:sz w:val="20"/>
          <w:szCs w:val="20"/>
          <w:color w:val="auto"/>
        </w:rPr>
      </w:pPr>
    </w:p>
    <w:p>
      <w:pPr>
        <w:ind w:left="2600"/>
        <w:spacing w:after="0"/>
        <w:rPr>
          <w:sz w:val="20"/>
          <w:szCs w:val="20"/>
          <w:color w:val="auto"/>
        </w:rPr>
      </w:pPr>
      <w:r>
        <w:rPr>
          <w:rFonts w:ascii="Courier New" w:cs="Courier New" w:eastAsia="Courier New" w:hAnsi="Courier New"/>
          <w:sz w:val="18"/>
          <w:szCs w:val="18"/>
          <w:color w:val="auto"/>
        </w:rPr>
        <w:t>BETWEEN</w:t>
      </w:r>
    </w:p>
    <w:p>
      <w:pPr>
        <w:spacing w:after="0" w:line="200" w:lineRule="exact"/>
        <w:rPr>
          <w:sz w:val="20"/>
          <w:szCs w:val="20"/>
          <w:color w:val="auto"/>
        </w:rPr>
      </w:pPr>
    </w:p>
    <w:p>
      <w:pPr>
        <w:spacing w:after="0" w:line="204" w:lineRule="exact"/>
        <w:rPr>
          <w:sz w:val="20"/>
          <w:szCs w:val="20"/>
          <w:color w:val="auto"/>
        </w:rPr>
      </w:pPr>
    </w:p>
    <w:p>
      <w:pPr>
        <w:ind w:left="1340"/>
        <w:spacing w:after="0"/>
        <w:rPr>
          <w:sz w:val="20"/>
          <w:szCs w:val="20"/>
          <w:color w:val="auto"/>
        </w:rPr>
      </w:pPr>
      <w:r>
        <w:rPr>
          <w:rFonts w:ascii="Courier New" w:cs="Courier New" w:eastAsia="Courier New" w:hAnsi="Courier New"/>
          <w:sz w:val="18"/>
          <w:szCs w:val="18"/>
          <w:color w:val="auto"/>
        </w:rPr>
        <w:t>TAISHO PHARMACEUTICAL CO.,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440"/>
        <w:spacing w:after="0"/>
        <w:rPr>
          <w:sz w:val="20"/>
          <w:szCs w:val="20"/>
          <w:color w:val="auto"/>
        </w:rPr>
      </w:pPr>
      <w:r>
        <w:rPr>
          <w:rFonts w:ascii="Courier New" w:cs="Courier New" w:eastAsia="Courier New" w:hAnsi="Courier New"/>
          <w:sz w:val="18"/>
          <w:szCs w:val="18"/>
          <w:color w:val="auto"/>
        </w:rPr>
        <w:t>NEUROCRINE BIOSCIENCES, INC.</w:t>
      </w:r>
    </w:p>
    <w:p>
      <w:pPr>
        <w:sectPr>
          <w:pgSz w:w="11900" w:h="16838" w:orient="portrait"/>
          <w:cols w:equalWidth="0" w:num="1">
            <w:col w:w="9019"/>
          </w:cols>
          <w:pgMar w:left="1440" w:top="515" w:right="1440" w:bottom="1440" w:gutter="0" w:footer="0" w:header="0"/>
        </w:sectPr>
      </w:pPr>
    </w:p>
    <w:bookmarkStart w:id="9" w:name="page10"/>
    <w:bookmarkEnd w:id="9"/>
    <w:p>
      <w:pPr>
        <w:jc w:val="center"/>
        <w:ind w:right="1879"/>
        <w:spacing w:after="0"/>
        <w:rPr>
          <w:sz w:val="20"/>
          <w:szCs w:val="20"/>
          <w:color w:val="auto"/>
        </w:rPr>
      </w:pPr>
      <w:r>
        <w:rPr>
          <w:rFonts w:ascii="Courier New" w:cs="Courier New" w:eastAsia="Courier New" w:hAnsi="Courier New"/>
          <w:sz w:val="18"/>
          <w:szCs w:val="18"/>
          <w:color w:val="auto"/>
        </w:rPr>
        <w:t>AMENDMENT NUMBER ONE TO THE LICENSE AGREEMENT</w:t>
      </w:r>
    </w:p>
    <w:p>
      <w:pPr>
        <w:spacing w:after="0" w:line="201"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AMENDMENT NUMBER ONE (this "Amendment") dated November 30, 2000 to the LICENSE AGREEMENT (the "License Agreement") dated July 21, 2000 by and between Taisho Pharmaceutical Co., Ltd., a Corporation organized under the laws of Japan with principal offices located at 24-1, Takata 3-Chome, Toshima-ku, Tokyo 170-8633, Japan ("Taisho") and Neurocrine Biosciences, Inc., a Delaware Corporation with principal offices located at 10555 Science Center Drive, San Diego, California 92121 ("Neurocrine").</w:t>
      </w:r>
    </w:p>
    <w:p>
      <w:pPr>
        <w:spacing w:after="0" w:line="98"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 I T N E S S E T H:</w:t>
      </w:r>
    </w:p>
    <w:p>
      <w:pPr>
        <w:spacing w:after="0" w:line="201" w:lineRule="exact"/>
        <w:rPr>
          <w:sz w:val="20"/>
          <w:szCs w:val="20"/>
          <w:color w:val="auto"/>
        </w:rPr>
      </w:pPr>
    </w:p>
    <w:p>
      <w:pPr>
        <w:ind w:right="1879" w:firstLine="527"/>
        <w:spacing w:after="0" w:line="318" w:lineRule="auto"/>
        <w:rPr>
          <w:sz w:val="20"/>
          <w:szCs w:val="20"/>
          <w:color w:val="auto"/>
        </w:rPr>
      </w:pPr>
      <w:r>
        <w:rPr>
          <w:rFonts w:ascii="Courier New" w:cs="Courier New" w:eastAsia="Courier New" w:hAnsi="Courier New"/>
          <w:sz w:val="16"/>
          <w:szCs w:val="16"/>
          <w:color w:val="auto"/>
        </w:rPr>
        <w:t>WHEREAS, Taisho and Neurocrine entered into the License Agreement pursuant to which Neurocrine licensed to Taisho exclusive rights to Neurocrine's proprietary altered peptide ligand, NBI-6024, in the Field of Use in Asian and European countries (each as defined in the License Agreement).</w:t>
      </w:r>
    </w:p>
    <w:p>
      <w:pPr>
        <w:spacing w:after="0" w:line="52"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WHEREAS, Taisho and Neurocrine now wish to amend the License Agreement to provide for collaboration between Neurocrine and Taisho in the development of NBI-6024 and to provide to Taisho exclusive commercialization rights to NBI-6024 in the Neurocrine Territory (as defined in the License Agreement) as an additional option set forth in Section 3.5 of the License Agreement.</w:t>
      </w:r>
    </w:p>
    <w:p>
      <w:pPr>
        <w:spacing w:after="0" w:line="90" w:lineRule="exact"/>
        <w:rPr>
          <w:sz w:val="20"/>
          <w:szCs w:val="20"/>
          <w:color w:val="auto"/>
        </w:rPr>
      </w:pPr>
    </w:p>
    <w:p>
      <w:pPr>
        <w:ind w:right="2319" w:firstLine="527"/>
        <w:spacing w:after="0" w:line="347" w:lineRule="auto"/>
        <w:rPr>
          <w:sz w:val="20"/>
          <w:szCs w:val="20"/>
          <w:color w:val="auto"/>
        </w:rPr>
      </w:pPr>
      <w:r>
        <w:rPr>
          <w:rFonts w:ascii="Courier New" w:cs="Courier New" w:eastAsia="Courier New" w:hAnsi="Courier New"/>
          <w:sz w:val="18"/>
          <w:szCs w:val="18"/>
          <w:color w:val="auto"/>
        </w:rPr>
        <w:t>NOW THEREFORE, in consideration of the foregoing and the covenants and promises contained in this Amendment, the Parties agree as follows:</w:t>
      </w:r>
    </w:p>
    <w:p>
      <w:pPr>
        <w:spacing w:after="0" w:line="221" w:lineRule="exact"/>
        <w:rPr>
          <w:sz w:val="20"/>
          <w:szCs w:val="20"/>
          <w:color w:val="auto"/>
        </w:rPr>
      </w:pPr>
    </w:p>
    <w:p>
      <w:pPr>
        <w:ind w:left="3580"/>
        <w:spacing w:after="0"/>
        <w:tabs>
          <w:tab w:leader="none" w:pos="4520" w:val="left"/>
        </w:tabs>
        <w:rPr>
          <w:sz w:val="20"/>
          <w:szCs w:val="20"/>
          <w:color w:val="auto"/>
        </w:rPr>
      </w:pPr>
      <w:r>
        <w:rPr>
          <w:rFonts w:ascii="Courier New" w:cs="Courier New" w:eastAsia="Courier New" w:hAnsi="Courier New"/>
          <w:sz w:val="18"/>
          <w:szCs w:val="18"/>
          <w:color w:val="auto"/>
        </w:rPr>
        <w:t>ARTICLE</w:t>
      </w:r>
      <w:r>
        <w:rPr>
          <w:sz w:val="20"/>
          <w:szCs w:val="20"/>
          <w:color w:val="auto"/>
        </w:rPr>
        <w:tab/>
      </w:r>
      <w:r>
        <w:rPr>
          <w:rFonts w:ascii="Courier New" w:cs="Courier New" w:eastAsia="Courier New" w:hAnsi="Courier New"/>
          <w:sz w:val="16"/>
          <w:szCs w:val="16"/>
          <w:color w:val="auto"/>
        </w:rPr>
        <w:t>1</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DEFINITIONS</w:t>
      </w:r>
    </w:p>
    <w:p>
      <w:pPr>
        <w:spacing w:after="0" w:line="201" w:lineRule="exact"/>
        <w:rPr>
          <w:sz w:val="20"/>
          <w:szCs w:val="20"/>
          <w:color w:val="auto"/>
        </w:rPr>
      </w:pPr>
    </w:p>
    <w:p>
      <w:pPr>
        <w:jc w:val="both"/>
        <w:ind w:right="1779"/>
        <w:spacing w:after="0" w:line="292" w:lineRule="auto"/>
        <w:rPr>
          <w:sz w:val="20"/>
          <w:szCs w:val="20"/>
          <w:color w:val="auto"/>
        </w:rPr>
      </w:pPr>
      <w:r>
        <w:rPr>
          <w:rFonts w:ascii="Courier New" w:cs="Courier New" w:eastAsia="Courier New" w:hAnsi="Courier New"/>
          <w:sz w:val="18"/>
          <w:szCs w:val="18"/>
          <w:color w:val="auto"/>
        </w:rPr>
        <w:t>Unless otherwise defined herein, capitalized terms used in this Amendment and in the License Agreement amended by this Amendment shall have the meanings assigned to such terms in the License Agreement.</w:t>
      </w:r>
    </w:p>
    <w:p>
      <w:pPr>
        <w:spacing w:after="0" w:line="6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"Collaboration" shall mean the collaboration between Taisho and Neurocrine</w:t>
      </w:r>
    </w:p>
    <w:p>
      <w:pPr>
        <w:spacing w:after="0" w:line="2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to Develop Licensed Products under the terms set forth herein.</w:t>
      </w:r>
    </w:p>
    <w:p>
      <w:pPr>
        <w:spacing w:after="0" w:line="16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6"/>
          <w:szCs w:val="16"/>
          <w:color w:val="auto"/>
        </w:rPr>
        <w:t>"Development Plan" shall mean the annual worldwide plan for the Development</w:t>
      </w:r>
    </w:p>
    <w:p>
      <w:pPr>
        <w:spacing w:after="0" w:line="2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of Products as approved by the JSC.</w:t>
      </w:r>
    </w:p>
    <w:p>
      <w:pPr>
        <w:spacing w:after="0" w:line="16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6"/>
          <w:szCs w:val="16"/>
          <w:color w:val="auto"/>
        </w:rPr>
        <w:t>"Licensed Territory" shall mean all the world.</w:t>
      </w:r>
    </w:p>
    <w:p>
      <w:pPr>
        <w:spacing w:after="0" w:line="3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w:t>
      </w:r>
    </w:p>
    <w:p>
      <w:pPr>
        <w:spacing w:after="0" w:line="31" w:lineRule="exact"/>
        <w:rPr>
          <w:sz w:val="20"/>
          <w:szCs w:val="20"/>
          <w:color w:val="auto"/>
        </w:rPr>
      </w:pPr>
    </w:p>
    <w:p>
      <w:pPr>
        <w:ind w:left="4120" w:right="2939" w:hanging="4112"/>
        <w:spacing w:after="0" w:line="547" w:lineRule="auto"/>
        <w:tabs>
          <w:tab w:leader="none" w:pos="64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treatment has been requested for omitted portions. 1</w:t>
      </w:r>
    </w:p>
    <w:p>
      <w:pPr>
        <w:sectPr>
          <w:pgSz w:w="11900" w:h="16838" w:orient="portrait"/>
          <w:cols w:equalWidth="0" w:num="1">
            <w:col w:w="10219"/>
          </w:cols>
          <w:pgMar w:left="240" w:top="691" w:right="1440" w:bottom="1440" w:gutter="0" w:footer="0" w:header="0"/>
        </w:sectPr>
      </w:pPr>
    </w:p>
    <w:bookmarkStart w:id="10" w:name="page11"/>
    <w:bookmarkEnd w:id="10"/>
    <w:p>
      <w:pPr>
        <w:spacing w:after="0"/>
        <w:tabs>
          <w:tab w:leader="none" w:pos="52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6"/>
          <w:szCs w:val="16"/>
          <w:color w:val="auto"/>
        </w:rPr>
        <w:t>"Milestone Payments" shall mean the payments to be made by Taisho to</w:t>
      </w:r>
    </w:p>
    <w:p>
      <w:pPr>
        <w:spacing w:after="0" w:line="2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ind w:right="1999"/>
        <w:spacing w:after="0" w:line="309" w:lineRule="auto"/>
        <w:rPr>
          <w:sz w:val="20"/>
          <w:szCs w:val="20"/>
          <w:color w:val="auto"/>
        </w:rPr>
      </w:pPr>
      <w:r>
        <w:rPr>
          <w:rFonts w:ascii="Courier New" w:cs="Courier New" w:eastAsia="Courier New" w:hAnsi="Courier New"/>
          <w:sz w:val="18"/>
          <w:szCs w:val="18"/>
          <w:color w:val="auto"/>
        </w:rPr>
        <w:t>Neurocrine upon occurrence of certain events as set forth in Sections 5.1B and 5.2B or 5.5B.</w:t>
      </w:r>
    </w:p>
    <w:p>
      <w:pPr>
        <w:spacing w:after="0" w:line="5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1.5</w:t>
      </w:r>
      <w:r>
        <w:rPr>
          <w:sz w:val="20"/>
          <w:szCs w:val="20"/>
          <w:color w:val="auto"/>
        </w:rPr>
        <w:tab/>
      </w:r>
      <w:r>
        <w:rPr>
          <w:rFonts w:ascii="Courier New" w:cs="Courier New" w:eastAsia="Courier New" w:hAnsi="Courier New"/>
          <w:sz w:val="16"/>
          <w:szCs w:val="16"/>
          <w:color w:val="auto"/>
        </w:rPr>
        <w:t>"Net Sales" shall mean the sales of Products or, in the case of multi</w:t>
      </w:r>
    </w:p>
    <w:p>
      <w:pPr>
        <w:spacing w:after="0" w:line="2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ind w:right="1779"/>
        <w:spacing w:after="0" w:line="281" w:lineRule="auto"/>
        <w:rPr>
          <w:sz w:val="20"/>
          <w:szCs w:val="20"/>
          <w:color w:val="auto"/>
        </w:rPr>
      </w:pPr>
      <w:r>
        <w:rPr>
          <w:rFonts w:ascii="Courier New" w:cs="Courier New" w:eastAsia="Courier New" w:hAnsi="Courier New"/>
          <w:sz w:val="16"/>
          <w:szCs w:val="16"/>
          <w:color w:val="auto"/>
        </w:rPr>
        <w:t>active components Products, NBI-6024 contributed portion thereof (as determined by a method approved by both Parties), for the sale of Products by Taisho or Affiliates or sublicensees of Taisho to a Third Party other than Affiliates or sublicensees of Taisho, less the amount incurred such as returns and allowances (including, but not limited to, prompt payment and volume discounts, chargebacks from wholesalers and other allowances granted to customers or wholesalers of Products, whether in cash or trade), freight, shipping, packing, insurance, rebates, and sales and other taxes based on sales when included in gross sales, but not including taxes when assessed on income derived from such sales.</w:t>
      </w:r>
    </w:p>
    <w:p>
      <w:pPr>
        <w:spacing w:after="0" w:line="8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1.6</w:t>
      </w:r>
      <w:r>
        <w:rPr>
          <w:sz w:val="20"/>
          <w:szCs w:val="20"/>
          <w:color w:val="auto"/>
        </w:rPr>
        <w:tab/>
      </w:r>
      <w:r>
        <w:rPr>
          <w:rFonts w:ascii="Courier New" w:cs="Courier New" w:eastAsia="Courier New" w:hAnsi="Courier New"/>
          <w:sz w:val="16"/>
          <w:szCs w:val="16"/>
          <w:color w:val="auto"/>
        </w:rPr>
        <w:t>"Rest of World" shall mean all the world other than Asian and European</w:t>
      </w:r>
    </w:p>
    <w:p>
      <w:pPr>
        <w:spacing w:after="0" w:line="2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countries listed on Exhibit D.</w:t>
      </w:r>
    </w:p>
    <w:p>
      <w:pPr>
        <w:spacing w:after="0" w:line="37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2</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AMENDEMENTS</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6"/>
          <w:szCs w:val="16"/>
          <w:color w:val="auto"/>
        </w:rPr>
        <w:t>Amendment of Section 1.29. Section 1,29 of the License Agreement</w:t>
      </w:r>
    </w:p>
    <w:p>
      <w:pPr>
        <w:spacing w:after="0" w:line="2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("Neurocrine Territory") is hereby deleted.</w:t>
      </w: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6"/>
          <w:szCs w:val="16"/>
          <w:color w:val="auto"/>
        </w:rPr>
        <w:t>Amendment of Section 2.3. Section 2.3(b) of the License Agreement is hereby</w:t>
      </w:r>
    </w:p>
    <w:p>
      <w:pPr>
        <w:spacing w:after="0" w:line="2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amended to read as set forth below.</w:t>
      </w:r>
    </w:p>
    <w:p>
      <w:pPr>
        <w:spacing w:after="0" w:line="169" w:lineRule="exact"/>
        <w:rPr>
          <w:sz w:val="20"/>
          <w:szCs w:val="20"/>
          <w:color w:val="auto"/>
        </w:rPr>
      </w:pPr>
    </w:p>
    <w:p>
      <w:pPr>
        <w:ind w:left="740"/>
        <w:spacing w:after="0"/>
        <w:tabs>
          <w:tab w:leader="none" w:pos="2620" w:val="left"/>
        </w:tabs>
        <w:rPr>
          <w:sz w:val="20"/>
          <w:szCs w:val="20"/>
          <w:color w:val="auto"/>
        </w:rPr>
      </w:pPr>
      <w:r>
        <w:rPr>
          <w:rFonts w:ascii="Courier New" w:cs="Courier New" w:eastAsia="Courier New" w:hAnsi="Courier New"/>
          <w:sz w:val="18"/>
          <w:szCs w:val="18"/>
          <w:color w:val="auto"/>
        </w:rPr>
        <w:t>(b) Indications.</w:t>
      </w:r>
      <w:r>
        <w:rPr>
          <w:sz w:val="20"/>
          <w:szCs w:val="20"/>
          <w:color w:val="auto"/>
        </w:rPr>
        <w:tab/>
      </w:r>
      <w:r>
        <w:rPr>
          <w:rFonts w:ascii="Courier New" w:cs="Courier New" w:eastAsia="Courier New" w:hAnsi="Courier New"/>
          <w:sz w:val="16"/>
          <w:szCs w:val="16"/>
          <w:color w:val="auto"/>
        </w:rPr>
        <w:t>Taisho will use Commercially Reasonable Efforts to</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ind w:left="540" w:right="1879"/>
        <w:spacing w:after="0" w:line="262" w:lineRule="auto"/>
        <w:rPr>
          <w:sz w:val="20"/>
          <w:szCs w:val="20"/>
          <w:color w:val="auto"/>
        </w:rPr>
      </w:pPr>
      <w:r>
        <w:rPr>
          <w:rFonts w:ascii="Courier New" w:cs="Courier New" w:eastAsia="Courier New" w:hAnsi="Courier New"/>
          <w:sz w:val="18"/>
          <w:szCs w:val="18"/>
          <w:color w:val="auto"/>
        </w:rPr>
        <w:t>obtain Governmental Approvals to Develop and Commercialize NBI-6024 in the Licensed Territory for all reasonable indications to the extent regulatively and practically appropriate taking into consideration the circumstances of markets in the Licensed Territory.</w:t>
      </w:r>
    </w:p>
    <w:p>
      <w:pPr>
        <w:spacing w:after="0" w:line="90"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6"/>
          <w:szCs w:val="16"/>
          <w:color w:val="auto"/>
        </w:rPr>
        <w:t>Amendment of Section 2.4. Section 2.4 of the License Agreement is hereby</w:t>
      </w:r>
    </w:p>
    <w:p>
      <w:pPr>
        <w:spacing w:after="0" w:line="2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amended to read as set forth below.</w:t>
      </w:r>
    </w:p>
    <w:p>
      <w:pPr>
        <w:spacing w:after="0" w:line="169" w:lineRule="exact"/>
        <w:rPr>
          <w:sz w:val="20"/>
          <w:szCs w:val="20"/>
          <w:color w:val="auto"/>
        </w:rPr>
      </w:pPr>
    </w:p>
    <w:p>
      <w:pPr>
        <w:ind w:left="1160" w:hanging="415"/>
        <w:spacing w:after="0"/>
        <w:tabs>
          <w:tab w:leader="none" w:pos="11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Development and Commercialization.  Neurocrine covenants to use</w:t>
      </w:r>
    </w:p>
    <w:p>
      <w:pPr>
        <w:spacing w:after="0" w:line="30" w:lineRule="exact"/>
        <w:rPr>
          <w:rFonts w:ascii="Courier New" w:cs="Courier New" w:eastAsia="Courier New" w:hAnsi="Courier New"/>
          <w:sz w:val="18"/>
          <w:szCs w:val="18"/>
          <w:color w:val="auto"/>
        </w:rPr>
      </w:pP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right="1999"/>
        <w:spacing w:after="0" w:line="309" w:lineRule="auto"/>
        <w:rPr>
          <w:sz w:val="20"/>
          <w:szCs w:val="20"/>
          <w:color w:val="auto"/>
        </w:rPr>
      </w:pPr>
      <w:r>
        <w:rPr>
          <w:rFonts w:ascii="Courier New" w:cs="Courier New" w:eastAsia="Courier New" w:hAnsi="Courier New"/>
          <w:sz w:val="18"/>
          <w:szCs w:val="18"/>
          <w:color w:val="auto"/>
        </w:rPr>
        <w:t>Commercially Reasonable Efforts to collaborate with Taisho to Develop and Commercialize Products in the Licensed Territory.</w:t>
      </w:r>
    </w:p>
    <w:p>
      <w:pPr>
        <w:spacing w:after="0" w:line="51" w:lineRule="exact"/>
        <w:rPr>
          <w:sz w:val="20"/>
          <w:szCs w:val="20"/>
          <w:color w:val="auto"/>
        </w:rPr>
      </w:pPr>
    </w:p>
    <w:p>
      <w:pPr>
        <w:ind w:left="1160" w:hanging="415"/>
        <w:spacing w:after="0"/>
        <w:tabs>
          <w:tab w:leader="none" w:pos="11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by Neurocrine.  Neurocrine covenants that all activities</w:t>
      </w:r>
    </w:p>
    <w:p>
      <w:pPr>
        <w:spacing w:after="0" w:line="30" w:lineRule="exact"/>
        <w:rPr>
          <w:rFonts w:ascii="Courier New" w:cs="Courier New" w:eastAsia="Courier New" w:hAnsi="Courier New"/>
          <w:sz w:val="18"/>
          <w:szCs w:val="18"/>
          <w:color w:val="auto"/>
        </w:rPr>
      </w:pP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jc w:val="both"/>
        <w:ind w:left="640" w:right="2419"/>
        <w:spacing w:after="0" w:line="273" w:lineRule="auto"/>
        <w:rPr>
          <w:sz w:val="20"/>
          <w:szCs w:val="20"/>
          <w:color w:val="auto"/>
        </w:rPr>
      </w:pPr>
      <w:r>
        <w:rPr>
          <w:rFonts w:ascii="Courier New" w:cs="Courier New" w:eastAsia="Courier New" w:hAnsi="Courier New"/>
          <w:sz w:val="18"/>
          <w:szCs w:val="18"/>
          <w:color w:val="auto"/>
        </w:rPr>
        <w:t>undertaken by Neurocrine in collaborating with Taisho hereunder will comply with all applicable statutes, regulations and guidance of any Governmental</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w:t>
      </w:r>
    </w:p>
    <w:p>
      <w:pPr>
        <w:spacing w:after="0" w:line="31" w:lineRule="exact"/>
        <w:rPr>
          <w:sz w:val="20"/>
          <w:szCs w:val="20"/>
          <w:color w:val="auto"/>
        </w:rPr>
      </w:pPr>
    </w:p>
    <w:p>
      <w:pPr>
        <w:ind w:left="4120" w:right="2939" w:hanging="4112"/>
        <w:spacing w:after="0" w:line="547" w:lineRule="auto"/>
        <w:tabs>
          <w:tab w:leader="none" w:pos="644"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treatment has been requested for omitted portions. 2</w:t>
      </w:r>
    </w:p>
    <w:p>
      <w:pPr>
        <w:sectPr>
          <w:pgSz w:w="11900" w:h="16838" w:orient="portrait"/>
          <w:cols w:equalWidth="0" w:num="1">
            <w:col w:w="10219"/>
          </w:cols>
          <w:pgMar w:left="240" w:top="691" w:right="1440" w:bottom="1440" w:gutter="0" w:footer="0" w:header="0"/>
        </w:sectPr>
      </w:pPr>
    </w:p>
    <w:bookmarkStart w:id="11" w:name="page12"/>
    <w:bookmarkEnd w:id="11"/>
    <w:p>
      <w:pPr>
        <w:ind w:left="640" w:right="2519"/>
        <w:spacing w:after="0" w:line="347" w:lineRule="auto"/>
        <w:rPr>
          <w:sz w:val="20"/>
          <w:szCs w:val="20"/>
          <w:color w:val="auto"/>
        </w:rPr>
      </w:pPr>
      <w:r>
        <w:rPr>
          <w:rFonts w:ascii="Courier New" w:cs="Courier New" w:eastAsia="Courier New" w:hAnsi="Courier New"/>
          <w:sz w:val="18"/>
          <w:szCs w:val="18"/>
          <w:color w:val="auto"/>
        </w:rPr>
        <w:t>Authorities relating to the Development and/or Commercialization of Products.</w:t>
      </w:r>
    </w:p>
    <w:p>
      <w:pPr>
        <w:spacing w:after="0" w:line="221" w:lineRule="exact"/>
        <w:rPr>
          <w:sz w:val="20"/>
          <w:szCs w:val="20"/>
          <w:color w:val="auto"/>
        </w:rPr>
      </w:pPr>
    </w:p>
    <w:p>
      <w:pPr>
        <w:spacing w:after="0"/>
        <w:tabs>
          <w:tab w:leader="none" w:pos="620" w:val="left"/>
          <w:tab w:leader="none" w:pos="400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8"/>
          <w:szCs w:val="18"/>
          <w:color w:val="auto"/>
        </w:rPr>
        <w:t>Amendment of Section 3.2 (b).</w:t>
      </w:r>
      <w:r>
        <w:rPr>
          <w:sz w:val="20"/>
          <w:szCs w:val="20"/>
          <w:color w:val="auto"/>
        </w:rPr>
        <w:tab/>
      </w:r>
      <w:r>
        <w:rPr>
          <w:rFonts w:ascii="Courier New" w:cs="Courier New" w:eastAsia="Courier New" w:hAnsi="Courier New"/>
          <w:sz w:val="16"/>
          <w:szCs w:val="16"/>
          <w:color w:val="auto"/>
        </w:rPr>
        <w:t>Section 3.2(b) of the License Agreement is</w:t>
      </w:r>
    </w:p>
    <w:p>
      <w:pPr>
        <w:spacing w:after="0" w:line="2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hereby amended to read as set forth below.</w:t>
      </w:r>
    </w:p>
    <w:p>
      <w:pPr>
        <w:spacing w:after="0" w:line="169" w:lineRule="exact"/>
        <w:rPr>
          <w:sz w:val="20"/>
          <w:szCs w:val="20"/>
          <w:color w:val="auto"/>
        </w:rPr>
      </w:pPr>
    </w:p>
    <w:p>
      <w:pPr>
        <w:ind w:left="1160" w:right="1779" w:hanging="520"/>
        <w:spacing w:after="0" w:line="292" w:lineRule="auto"/>
        <w:tabs>
          <w:tab w:leader="none" w:pos="11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Taisho hereby grants to Neurocrine ***** license ***** under Licensed Technology and Taisho Technology, ***** as set forth in this Agreement.</w:t>
      </w:r>
    </w:p>
    <w:p>
      <w:pPr>
        <w:spacing w:after="0" w:line="66" w:lineRule="exact"/>
        <w:rPr>
          <w:sz w:val="20"/>
          <w:szCs w:val="20"/>
          <w:color w:val="auto"/>
        </w:rPr>
      </w:pPr>
    </w:p>
    <w:p>
      <w:pPr>
        <w:spacing w:after="0"/>
        <w:tabs>
          <w:tab w:leader="none" w:pos="620" w:val="left"/>
          <w:tab w:leader="none" w:pos="3460" w:val="left"/>
        </w:tabs>
        <w:rPr>
          <w:sz w:val="20"/>
          <w:szCs w:val="20"/>
          <w:color w:val="auto"/>
        </w:rPr>
      </w:pPr>
      <w:r>
        <w:rPr>
          <w:rFonts w:ascii="Courier New" w:cs="Courier New" w:eastAsia="Courier New" w:hAnsi="Courier New"/>
          <w:sz w:val="18"/>
          <w:szCs w:val="18"/>
          <w:color w:val="auto"/>
        </w:rPr>
        <w:t>2.5</w:t>
      </w:r>
      <w:r>
        <w:rPr>
          <w:sz w:val="20"/>
          <w:szCs w:val="20"/>
          <w:color w:val="auto"/>
        </w:rPr>
        <w:tab/>
      </w:r>
      <w:r>
        <w:rPr>
          <w:rFonts w:ascii="Courier New" w:cs="Courier New" w:eastAsia="Courier New" w:hAnsi="Courier New"/>
          <w:sz w:val="18"/>
          <w:szCs w:val="18"/>
          <w:color w:val="auto"/>
        </w:rPr>
        <w:t>Amendment of Section 3.3.</w:t>
      </w:r>
      <w:r>
        <w:rPr>
          <w:sz w:val="20"/>
          <w:szCs w:val="20"/>
          <w:color w:val="auto"/>
        </w:rPr>
        <w:tab/>
      </w:r>
      <w:r>
        <w:rPr>
          <w:rFonts w:ascii="Courier New" w:cs="Courier New" w:eastAsia="Courier New" w:hAnsi="Courier New"/>
          <w:sz w:val="16"/>
          <w:szCs w:val="16"/>
          <w:color w:val="auto"/>
        </w:rPr>
        <w:t>Section 3.3 of the License Agreement is hereby</w:t>
      </w:r>
    </w:p>
    <w:p>
      <w:pPr>
        <w:spacing w:after="0" w:line="2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jc w:val="right"/>
        <w:ind w:right="6519"/>
        <w:spacing w:after="0"/>
        <w:rPr>
          <w:sz w:val="20"/>
          <w:szCs w:val="20"/>
          <w:color w:val="auto"/>
        </w:rPr>
      </w:pPr>
      <w:r>
        <w:rPr>
          <w:rFonts w:ascii="Courier New" w:cs="Courier New" w:eastAsia="Courier New" w:hAnsi="Courier New"/>
          <w:sz w:val="16"/>
          <w:szCs w:val="16"/>
          <w:color w:val="auto"/>
        </w:rPr>
        <w:t>amended to read as set forth below.</w:t>
      </w:r>
    </w:p>
    <w:p>
      <w:pPr>
        <w:spacing w:after="0" w:line="21" w:lineRule="exact"/>
        <w:rPr>
          <w:sz w:val="20"/>
          <w:szCs w:val="20"/>
          <w:color w:val="auto"/>
        </w:rPr>
      </w:pPr>
    </w:p>
    <w:p>
      <w:pPr>
        <w:jc w:val="right"/>
        <w:ind w:right="6519"/>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640"/>
        <w:spacing w:after="0"/>
        <w:tabs>
          <w:tab w:leader="none" w:pos="1140" w:val="left"/>
          <w:tab w:leader="none" w:pos="2620" w:val="left"/>
        </w:tabs>
        <w:rPr>
          <w:sz w:val="20"/>
          <w:szCs w:val="20"/>
          <w:color w:val="auto"/>
        </w:rPr>
      </w:pPr>
      <w:r>
        <w:rPr>
          <w:rFonts w:ascii="Courier New" w:cs="Courier New" w:eastAsia="Courier New" w:hAnsi="Courier New"/>
          <w:sz w:val="18"/>
          <w:szCs w:val="18"/>
          <w:color w:val="auto"/>
        </w:rPr>
        <w:t>3.3</w:t>
        <w:tab/>
        <w:t>Sublicenses.</w:t>
      </w:r>
      <w:r>
        <w:rPr>
          <w:sz w:val="20"/>
          <w:szCs w:val="20"/>
          <w:color w:val="auto"/>
        </w:rPr>
        <w:tab/>
      </w:r>
      <w:r>
        <w:rPr>
          <w:rFonts w:ascii="Courier New" w:cs="Courier New" w:eastAsia="Courier New" w:hAnsi="Courier New"/>
          <w:sz w:val="16"/>
          <w:szCs w:val="16"/>
          <w:color w:val="auto"/>
        </w:rPr>
        <w:t>Taisho shall have the right to grant sublicenses to</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6"/>
          <w:szCs w:val="16"/>
          <w:color w:val="auto"/>
        </w:rPr>
        <w:t>Licensed Technology to Third Parties, provided, however, that Taisho shall</w:t>
      </w:r>
    </w:p>
    <w:p>
      <w:pPr>
        <w:spacing w:after="0" w:line="20" w:lineRule="exact"/>
        <w:rPr>
          <w:sz w:val="20"/>
          <w:szCs w:val="20"/>
          <w:color w:val="auto"/>
        </w:rPr>
      </w:pPr>
    </w:p>
    <w:p>
      <w:pPr>
        <w:ind w:left="4640"/>
        <w:spacing w:after="0"/>
        <w:tabs>
          <w:tab w:leader="none" w:pos="56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ind w:left="640" w:right="1879"/>
        <w:spacing w:after="0" w:line="273" w:lineRule="auto"/>
        <w:rPr>
          <w:sz w:val="20"/>
          <w:szCs w:val="20"/>
          <w:color w:val="auto"/>
        </w:rPr>
      </w:pPr>
      <w:r>
        <w:rPr>
          <w:rFonts w:ascii="Courier New" w:cs="Courier New" w:eastAsia="Courier New" w:hAnsi="Courier New"/>
          <w:sz w:val="18"/>
          <w:szCs w:val="18"/>
          <w:color w:val="auto"/>
        </w:rPr>
        <w:t>remain responsible for the full and complete performance of all obligations hereunder. Taisho shall provide Neurocrine with copies of all agreements sublicensing the Licensed Technology, *****.</w:t>
      </w:r>
    </w:p>
    <w:p>
      <w:pPr>
        <w:spacing w:after="0" w:line="82" w:lineRule="exact"/>
        <w:rPr>
          <w:sz w:val="20"/>
          <w:szCs w:val="20"/>
          <w:color w:val="auto"/>
        </w:rPr>
      </w:pPr>
    </w:p>
    <w:p>
      <w:pPr>
        <w:spacing w:after="0"/>
        <w:tabs>
          <w:tab w:leader="none" w:pos="620" w:val="left"/>
          <w:tab w:leader="none" w:pos="3460" w:val="left"/>
        </w:tabs>
        <w:rPr>
          <w:sz w:val="20"/>
          <w:szCs w:val="20"/>
          <w:color w:val="auto"/>
        </w:rPr>
      </w:pPr>
      <w:r>
        <w:rPr>
          <w:rFonts w:ascii="Courier New" w:cs="Courier New" w:eastAsia="Courier New" w:hAnsi="Courier New"/>
          <w:sz w:val="18"/>
          <w:szCs w:val="18"/>
          <w:color w:val="auto"/>
        </w:rPr>
        <w:t>2.6</w:t>
      </w:r>
      <w:r>
        <w:rPr>
          <w:sz w:val="20"/>
          <w:szCs w:val="20"/>
          <w:color w:val="auto"/>
        </w:rPr>
        <w:tab/>
      </w:r>
      <w:r>
        <w:rPr>
          <w:rFonts w:ascii="Courier New" w:cs="Courier New" w:eastAsia="Courier New" w:hAnsi="Courier New"/>
          <w:sz w:val="18"/>
          <w:szCs w:val="18"/>
          <w:color w:val="auto"/>
        </w:rPr>
        <w:t>Amendment of Section 3.5.</w:t>
      </w:r>
      <w:r>
        <w:rPr>
          <w:sz w:val="20"/>
          <w:szCs w:val="20"/>
          <w:color w:val="auto"/>
        </w:rPr>
        <w:tab/>
      </w:r>
      <w:r>
        <w:rPr>
          <w:rFonts w:ascii="Courier New" w:cs="Courier New" w:eastAsia="Courier New" w:hAnsi="Courier New"/>
          <w:sz w:val="16"/>
          <w:szCs w:val="16"/>
          <w:color w:val="auto"/>
        </w:rPr>
        <w:t>Section 3.5 of the License Agreement is hereby</w:t>
      </w:r>
    </w:p>
    <w:p>
      <w:pPr>
        <w:spacing w:after="0" w:line="2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deleted.</w:t>
      </w:r>
    </w:p>
    <w:p>
      <w:pPr>
        <w:spacing w:after="0" w:line="169" w:lineRule="exact"/>
        <w:rPr>
          <w:sz w:val="20"/>
          <w:szCs w:val="20"/>
          <w:color w:val="auto"/>
        </w:rPr>
      </w:pPr>
    </w:p>
    <w:p>
      <w:pPr>
        <w:spacing w:after="0"/>
        <w:tabs>
          <w:tab w:leader="none" w:pos="620" w:val="left"/>
          <w:tab w:leader="none" w:pos="3460" w:val="left"/>
        </w:tabs>
        <w:rPr>
          <w:sz w:val="20"/>
          <w:szCs w:val="20"/>
          <w:color w:val="auto"/>
        </w:rPr>
      </w:pPr>
      <w:r>
        <w:rPr>
          <w:rFonts w:ascii="Courier New" w:cs="Courier New" w:eastAsia="Courier New" w:hAnsi="Courier New"/>
          <w:sz w:val="18"/>
          <w:szCs w:val="18"/>
          <w:color w:val="auto"/>
        </w:rPr>
        <w:t>2.7</w:t>
      </w:r>
      <w:r>
        <w:rPr>
          <w:sz w:val="20"/>
          <w:szCs w:val="20"/>
          <w:color w:val="auto"/>
        </w:rPr>
        <w:tab/>
      </w:r>
      <w:r>
        <w:rPr>
          <w:rFonts w:ascii="Courier New" w:cs="Courier New" w:eastAsia="Courier New" w:hAnsi="Courier New"/>
          <w:sz w:val="18"/>
          <w:szCs w:val="18"/>
          <w:color w:val="auto"/>
        </w:rPr>
        <w:t>Amendment of Section 4.1.</w:t>
      </w:r>
      <w:r>
        <w:rPr>
          <w:sz w:val="20"/>
          <w:szCs w:val="20"/>
          <w:color w:val="auto"/>
        </w:rPr>
        <w:tab/>
      </w:r>
      <w:r>
        <w:rPr>
          <w:rFonts w:ascii="Courier New" w:cs="Courier New" w:eastAsia="Courier New" w:hAnsi="Courier New"/>
          <w:sz w:val="16"/>
          <w:szCs w:val="16"/>
          <w:color w:val="auto"/>
        </w:rPr>
        <w:t>Section 4.1 of the License Agreement is hereby</w:t>
      </w:r>
    </w:p>
    <w:p>
      <w:pPr>
        <w:spacing w:after="0" w:line="2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amended to delete "for each of the Parties" in Subsection (iii).</w:t>
      </w:r>
    </w:p>
    <w:p>
      <w:pPr>
        <w:spacing w:after="0" w:line="169" w:lineRule="exact"/>
        <w:rPr>
          <w:sz w:val="20"/>
          <w:szCs w:val="20"/>
          <w:color w:val="auto"/>
        </w:rPr>
      </w:pPr>
    </w:p>
    <w:p>
      <w:pPr>
        <w:spacing w:after="0"/>
        <w:tabs>
          <w:tab w:leader="none" w:pos="620" w:val="left"/>
          <w:tab w:leader="none" w:pos="3460" w:val="left"/>
        </w:tabs>
        <w:rPr>
          <w:sz w:val="20"/>
          <w:szCs w:val="20"/>
          <w:color w:val="auto"/>
        </w:rPr>
      </w:pPr>
      <w:r>
        <w:rPr>
          <w:rFonts w:ascii="Courier New" w:cs="Courier New" w:eastAsia="Courier New" w:hAnsi="Courier New"/>
          <w:sz w:val="18"/>
          <w:szCs w:val="18"/>
          <w:color w:val="auto"/>
        </w:rPr>
        <w:t>2.8</w:t>
      </w:r>
      <w:r>
        <w:rPr>
          <w:sz w:val="20"/>
          <w:szCs w:val="20"/>
          <w:color w:val="auto"/>
        </w:rPr>
        <w:tab/>
      </w:r>
      <w:r>
        <w:rPr>
          <w:rFonts w:ascii="Courier New" w:cs="Courier New" w:eastAsia="Courier New" w:hAnsi="Courier New"/>
          <w:sz w:val="18"/>
          <w:szCs w:val="18"/>
          <w:color w:val="auto"/>
        </w:rPr>
        <w:t>Amendment of Section 4.2.</w:t>
      </w:r>
      <w:r>
        <w:rPr>
          <w:sz w:val="20"/>
          <w:szCs w:val="20"/>
          <w:color w:val="auto"/>
        </w:rPr>
        <w:tab/>
      </w:r>
      <w:r>
        <w:rPr>
          <w:rFonts w:ascii="Courier New" w:cs="Courier New" w:eastAsia="Courier New" w:hAnsi="Courier New"/>
          <w:sz w:val="16"/>
          <w:szCs w:val="16"/>
          <w:color w:val="auto"/>
        </w:rPr>
        <w:t>Section 4.2 of the License Agreement is hereby</w:t>
      </w:r>
    </w:p>
    <w:p>
      <w:pPr>
        <w:spacing w:after="0" w:line="2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amended to read as set forth below.</w:t>
      </w:r>
    </w:p>
    <w:p>
      <w:pPr>
        <w:spacing w:after="0" w:line="169" w:lineRule="exact"/>
        <w:rPr>
          <w:sz w:val="20"/>
          <w:szCs w:val="20"/>
          <w:color w:val="auto"/>
        </w:rPr>
      </w:pPr>
    </w:p>
    <w:p>
      <w:pPr>
        <w:ind w:left="640"/>
        <w:spacing w:after="0"/>
        <w:tabs>
          <w:tab w:leader="none" w:pos="1140" w:val="left"/>
          <w:tab w:leader="none" w:pos="7040" w:val="left"/>
        </w:tabs>
        <w:rPr>
          <w:sz w:val="20"/>
          <w:szCs w:val="20"/>
          <w:color w:val="auto"/>
        </w:rPr>
      </w:pPr>
      <w:r>
        <w:rPr>
          <w:rFonts w:ascii="Courier New" w:cs="Courier New" w:eastAsia="Courier New" w:hAnsi="Courier New"/>
          <w:sz w:val="18"/>
          <w:szCs w:val="18"/>
          <w:color w:val="auto"/>
        </w:rPr>
        <w:t>4.2</w:t>
        <w:tab/>
        <w:t>Meetings and Decision of the Joint Steering Committee.</w:t>
      </w:r>
      <w:r>
        <w:rPr>
          <w:sz w:val="20"/>
          <w:szCs w:val="20"/>
          <w:color w:val="auto"/>
        </w:rPr>
        <w:tab/>
      </w:r>
      <w:r>
        <w:rPr>
          <w:rFonts w:ascii="Courier New" w:cs="Courier New" w:eastAsia="Courier New" w:hAnsi="Courier New"/>
          <w:sz w:val="16"/>
          <w:szCs w:val="16"/>
          <w:color w:val="auto"/>
        </w:rPr>
        <w:t>The</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ind w:left="640" w:right="1779"/>
        <w:spacing w:after="0" w:line="244" w:lineRule="auto"/>
        <w:rPr>
          <w:sz w:val="20"/>
          <w:szCs w:val="20"/>
          <w:color w:val="auto"/>
        </w:rPr>
      </w:pPr>
      <w:r>
        <w:rPr>
          <w:rFonts w:ascii="Courier New" w:cs="Courier New" w:eastAsia="Courier New" w:hAnsi="Courier New"/>
          <w:sz w:val="18"/>
          <w:szCs w:val="18"/>
          <w:color w:val="auto"/>
        </w:rPr>
        <w:t>chairperson of the JSC will be designated annually by Taisho and Neurocrine on an alternating basis starting with Neurocrine. A secretary will be appointed for each meeting and shall be responsible for the minutes of the meeting. The JSC shall meet no less frequently than twice per year. Decisions of the JSC shall be made by unanimous vote. In the event the JSC is unable to reach agreement on any issue, the issue shall be referred to the Senior Vice President, Development of Neurocrine and Head of Development of Taisho for resolution. In the event these two persons are unable to reach agreement on the issue, the issue shall be finally decided by Head of Development of Taisho. All decisions of the JSC shall be consistent with the Five Year Plan and will be reached in good faith.</w:t>
      </w:r>
    </w:p>
    <w:p>
      <w:pPr>
        <w:spacing w:after="0" w:line="114" w:lineRule="exact"/>
        <w:rPr>
          <w:sz w:val="20"/>
          <w:szCs w:val="20"/>
          <w:color w:val="auto"/>
        </w:rPr>
      </w:pPr>
    </w:p>
    <w:p>
      <w:pPr>
        <w:spacing w:after="0"/>
        <w:tabs>
          <w:tab w:leader="none" w:pos="620" w:val="left"/>
          <w:tab w:leader="none" w:pos="3460" w:val="left"/>
        </w:tabs>
        <w:rPr>
          <w:sz w:val="20"/>
          <w:szCs w:val="20"/>
          <w:color w:val="auto"/>
        </w:rPr>
      </w:pPr>
      <w:r>
        <w:rPr>
          <w:rFonts w:ascii="Courier New" w:cs="Courier New" w:eastAsia="Courier New" w:hAnsi="Courier New"/>
          <w:sz w:val="18"/>
          <w:szCs w:val="18"/>
          <w:color w:val="auto"/>
        </w:rPr>
        <w:t>2.9</w:t>
      </w:r>
      <w:r>
        <w:rPr>
          <w:sz w:val="20"/>
          <w:szCs w:val="20"/>
          <w:color w:val="auto"/>
        </w:rPr>
        <w:tab/>
      </w:r>
      <w:r>
        <w:rPr>
          <w:rFonts w:ascii="Courier New" w:cs="Courier New" w:eastAsia="Courier New" w:hAnsi="Courier New"/>
          <w:sz w:val="18"/>
          <w:szCs w:val="18"/>
          <w:color w:val="auto"/>
        </w:rPr>
        <w:t>Amendment of Section 4.3.</w:t>
      </w:r>
      <w:r>
        <w:rPr>
          <w:sz w:val="20"/>
          <w:szCs w:val="20"/>
          <w:color w:val="auto"/>
        </w:rPr>
        <w:tab/>
      </w:r>
      <w:r>
        <w:rPr>
          <w:rFonts w:ascii="Courier New" w:cs="Courier New" w:eastAsia="Courier New" w:hAnsi="Courier New"/>
          <w:sz w:val="16"/>
          <w:szCs w:val="16"/>
          <w:color w:val="auto"/>
        </w:rPr>
        <w:t>Section 4.3 of the License Agreement is amended</w:t>
      </w:r>
    </w:p>
    <w:p>
      <w:pPr>
        <w:spacing w:after="0" w:line="2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to read as set forth below.</w:t>
      </w:r>
    </w:p>
    <w:p>
      <w:pPr>
        <w:spacing w:after="0" w:line="169" w:lineRule="exact"/>
        <w:rPr>
          <w:sz w:val="20"/>
          <w:szCs w:val="20"/>
          <w:color w:val="auto"/>
        </w:rPr>
      </w:pPr>
    </w:p>
    <w:p>
      <w:pPr>
        <w:ind w:left="640"/>
        <w:spacing w:after="0"/>
        <w:tabs>
          <w:tab w:leader="none" w:pos="1140" w:val="left"/>
          <w:tab w:leader="none" w:pos="3140" w:val="left"/>
        </w:tabs>
        <w:rPr>
          <w:sz w:val="20"/>
          <w:szCs w:val="20"/>
          <w:color w:val="auto"/>
        </w:rPr>
      </w:pPr>
      <w:r>
        <w:rPr>
          <w:rFonts w:ascii="Courier New" w:cs="Courier New" w:eastAsia="Courier New" w:hAnsi="Courier New"/>
          <w:sz w:val="18"/>
          <w:szCs w:val="18"/>
          <w:color w:val="auto"/>
        </w:rPr>
        <w:t>4.3</w:t>
        <w:tab/>
        <w:t>Development Plan.</w:t>
      </w:r>
      <w:r>
        <w:rPr>
          <w:sz w:val="20"/>
          <w:szCs w:val="20"/>
          <w:color w:val="auto"/>
        </w:rPr>
        <w:tab/>
      </w:r>
      <w:r>
        <w:rPr>
          <w:rFonts w:ascii="Courier New" w:cs="Courier New" w:eastAsia="Courier New" w:hAnsi="Courier New"/>
          <w:sz w:val="16"/>
          <w:szCs w:val="16"/>
          <w:color w:val="auto"/>
        </w:rPr>
        <w:t>Prior to the Effective Date the Parties worked</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ind w:left="640" w:right="1779"/>
        <w:spacing w:after="0" w:line="262" w:lineRule="auto"/>
        <w:rPr>
          <w:sz w:val="20"/>
          <w:szCs w:val="20"/>
          <w:color w:val="auto"/>
        </w:rPr>
      </w:pPr>
      <w:r>
        <w:rPr>
          <w:rFonts w:ascii="Courier New" w:cs="Courier New" w:eastAsia="Courier New" w:hAnsi="Courier New"/>
          <w:sz w:val="18"/>
          <w:szCs w:val="18"/>
          <w:color w:val="auto"/>
        </w:rPr>
        <w:t>together to coordinate a development plan for a global five year plan (the "Five Year Plan" as set forth on Exhibit E). The goal of the Five Year Plan is to maximize Product potential through coordinated, efficient and cost effective</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w:t>
      </w:r>
    </w:p>
    <w:p>
      <w:pPr>
        <w:spacing w:after="0" w:line="31" w:lineRule="exact"/>
        <w:rPr>
          <w:sz w:val="20"/>
          <w:szCs w:val="20"/>
          <w:color w:val="auto"/>
        </w:rPr>
      </w:pPr>
    </w:p>
    <w:p>
      <w:pPr>
        <w:ind w:left="4120" w:right="2939" w:hanging="4112"/>
        <w:spacing w:after="0" w:line="547" w:lineRule="auto"/>
        <w:tabs>
          <w:tab w:leader="none" w:pos="644"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treatment has been requested for omitted portions. 3</w:t>
      </w:r>
    </w:p>
    <w:p>
      <w:pPr>
        <w:sectPr>
          <w:pgSz w:w="11900" w:h="16838" w:orient="portrait"/>
          <w:cols w:equalWidth="0" w:num="1">
            <w:col w:w="10219"/>
          </w:cols>
          <w:pgMar w:left="240" w:top="691" w:right="1440" w:bottom="1440" w:gutter="0" w:footer="0" w:header="0"/>
        </w:sectPr>
      </w:pPr>
    </w:p>
    <w:bookmarkStart w:id="12" w:name="page13"/>
    <w:bookmarkEnd w:id="12"/>
    <w:p>
      <w:pPr>
        <w:ind w:left="640" w:right="1779"/>
        <w:spacing w:after="0" w:line="252" w:lineRule="auto"/>
        <w:rPr>
          <w:sz w:val="20"/>
          <w:szCs w:val="20"/>
          <w:color w:val="auto"/>
        </w:rPr>
      </w:pPr>
      <w:r>
        <w:rPr>
          <w:rFonts w:ascii="Courier New" w:cs="Courier New" w:eastAsia="Courier New" w:hAnsi="Courier New"/>
          <w:sz w:val="18"/>
          <w:szCs w:val="18"/>
          <w:color w:val="auto"/>
        </w:rPr>
        <w:t>Development and Commercialization. The Five Year Plan includes outline timelines for pre-clinical and clinical studies and Regulatory Filings. The Five Year Plan will be updated on an annual basis and, when necessary in consideration of the progress of the Development, from time to time additionally by mutual agreement of the Parties. On or before September 15 of each year the JSC will adopt a plan for the Development of Products for the Licensed Territory in the next following year (the "Development Plans"). The Development Plans will be consistent with the then valid Five Year Plan.</w:t>
      </w:r>
    </w:p>
    <w:p>
      <w:pPr>
        <w:spacing w:after="0" w:line="99" w:lineRule="exact"/>
        <w:rPr>
          <w:sz w:val="20"/>
          <w:szCs w:val="20"/>
          <w:color w:val="auto"/>
        </w:rPr>
      </w:pPr>
    </w:p>
    <w:p>
      <w:pPr>
        <w:spacing w:after="0"/>
        <w:tabs>
          <w:tab w:leader="none" w:pos="620" w:val="left"/>
          <w:tab w:leader="none" w:pos="3460" w:val="left"/>
        </w:tabs>
        <w:rPr>
          <w:sz w:val="20"/>
          <w:szCs w:val="20"/>
          <w:color w:val="auto"/>
        </w:rPr>
      </w:pPr>
      <w:r>
        <w:rPr>
          <w:rFonts w:ascii="Courier New" w:cs="Courier New" w:eastAsia="Courier New" w:hAnsi="Courier New"/>
          <w:sz w:val="18"/>
          <w:szCs w:val="18"/>
          <w:color w:val="auto"/>
        </w:rPr>
        <w:t>2.10</w:t>
        <w:tab/>
        <w:t>Amendment of Section 4.4.</w:t>
      </w:r>
      <w:r>
        <w:rPr>
          <w:sz w:val="20"/>
          <w:szCs w:val="20"/>
          <w:color w:val="auto"/>
        </w:rPr>
        <w:tab/>
      </w:r>
      <w:r>
        <w:rPr>
          <w:rFonts w:ascii="Courier New" w:cs="Courier New" w:eastAsia="Courier New" w:hAnsi="Courier New"/>
          <w:sz w:val="16"/>
          <w:szCs w:val="16"/>
          <w:color w:val="auto"/>
        </w:rPr>
        <w:t>Section 4.4 of the License Agreement is hereby</w:t>
      </w:r>
    </w:p>
    <w:p>
      <w:pPr>
        <w:spacing w:after="0" w:line="2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amended to read as set forth below.</w:t>
      </w:r>
    </w:p>
    <w:p>
      <w:pPr>
        <w:spacing w:after="0" w:line="169" w:lineRule="exact"/>
        <w:rPr>
          <w:sz w:val="20"/>
          <w:szCs w:val="20"/>
          <w:color w:val="auto"/>
        </w:rPr>
      </w:pPr>
    </w:p>
    <w:p>
      <w:pPr>
        <w:ind w:left="640"/>
        <w:spacing w:after="0"/>
        <w:tabs>
          <w:tab w:leader="none" w:pos="1140" w:val="left"/>
          <w:tab w:leader="none" w:pos="1980" w:val="left"/>
        </w:tabs>
        <w:rPr>
          <w:sz w:val="20"/>
          <w:szCs w:val="20"/>
          <w:color w:val="auto"/>
        </w:rPr>
      </w:pPr>
      <w:r>
        <w:rPr>
          <w:rFonts w:ascii="Courier New" w:cs="Courier New" w:eastAsia="Courier New" w:hAnsi="Courier New"/>
          <w:sz w:val="18"/>
          <w:szCs w:val="18"/>
          <w:color w:val="auto"/>
        </w:rPr>
        <w:t>4.4</w:t>
        <w:tab/>
        <w:t>Data.</w:t>
      </w:r>
      <w:r>
        <w:rPr>
          <w:sz w:val="20"/>
          <w:szCs w:val="20"/>
          <w:color w:val="auto"/>
        </w:rPr>
        <w:tab/>
      </w:r>
      <w:r>
        <w:rPr>
          <w:rFonts w:ascii="Courier New" w:cs="Courier New" w:eastAsia="Courier New" w:hAnsi="Courier New"/>
          <w:sz w:val="16"/>
          <w:szCs w:val="16"/>
          <w:color w:val="auto"/>
        </w:rPr>
        <w:t>On each meeting of the JSC, and upon written request at any</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ind w:left="640" w:right="1779"/>
        <w:spacing w:after="0" w:line="290" w:lineRule="auto"/>
        <w:rPr>
          <w:sz w:val="20"/>
          <w:szCs w:val="20"/>
          <w:color w:val="auto"/>
        </w:rPr>
      </w:pPr>
      <w:r>
        <w:rPr>
          <w:rFonts w:ascii="Courier New" w:cs="Courier New" w:eastAsia="Courier New" w:hAnsi="Courier New"/>
          <w:sz w:val="16"/>
          <w:szCs w:val="16"/>
          <w:color w:val="auto"/>
        </w:rPr>
        <w:t>other time, the Parties will exchange written summaries of all Development Data obtained to the date. All Development Data shall be considered Confidential Information of the disclosing Party. The Parties shall maintain all Development Data, related records, documents and raw data in sufficient detail and in good scientific manner as will properly reflect all works done and results achieved in the performance of the Development.</w:t>
      </w:r>
    </w:p>
    <w:p>
      <w:pPr>
        <w:spacing w:after="0" w:line="72" w:lineRule="exact"/>
        <w:rPr>
          <w:sz w:val="20"/>
          <w:szCs w:val="20"/>
          <w:color w:val="auto"/>
        </w:rPr>
      </w:pPr>
    </w:p>
    <w:p>
      <w:pPr>
        <w:spacing w:after="0"/>
        <w:tabs>
          <w:tab w:leader="none" w:pos="620" w:val="left"/>
          <w:tab w:leader="none" w:pos="3460" w:val="left"/>
        </w:tabs>
        <w:rPr>
          <w:sz w:val="20"/>
          <w:szCs w:val="20"/>
          <w:color w:val="auto"/>
        </w:rPr>
      </w:pPr>
      <w:r>
        <w:rPr>
          <w:rFonts w:ascii="Courier New" w:cs="Courier New" w:eastAsia="Courier New" w:hAnsi="Courier New"/>
          <w:sz w:val="18"/>
          <w:szCs w:val="18"/>
          <w:color w:val="auto"/>
        </w:rPr>
        <w:t>2.11</w:t>
        <w:tab/>
        <w:t>Amendment of Section 4.5.</w:t>
      </w:r>
      <w:r>
        <w:rPr>
          <w:sz w:val="20"/>
          <w:szCs w:val="20"/>
          <w:color w:val="auto"/>
        </w:rPr>
        <w:tab/>
      </w:r>
      <w:r>
        <w:rPr>
          <w:rFonts w:ascii="Courier New" w:cs="Courier New" w:eastAsia="Courier New" w:hAnsi="Courier New"/>
          <w:sz w:val="16"/>
          <w:szCs w:val="16"/>
          <w:color w:val="auto"/>
        </w:rPr>
        <w:t>Section 4.5 of the License Agreement is hereby</w:t>
      </w:r>
    </w:p>
    <w:p>
      <w:pPr>
        <w:spacing w:after="0" w:line="2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deleted.</w:t>
      </w:r>
    </w:p>
    <w:p>
      <w:pPr>
        <w:spacing w:after="0" w:line="169" w:lineRule="exact"/>
        <w:rPr>
          <w:sz w:val="20"/>
          <w:szCs w:val="20"/>
          <w:color w:val="auto"/>
        </w:rPr>
      </w:pPr>
    </w:p>
    <w:p>
      <w:pPr>
        <w:spacing w:after="0"/>
        <w:tabs>
          <w:tab w:leader="none" w:pos="620" w:val="left"/>
          <w:tab w:leader="none" w:pos="3460" w:val="left"/>
        </w:tabs>
        <w:rPr>
          <w:sz w:val="20"/>
          <w:szCs w:val="20"/>
          <w:color w:val="auto"/>
        </w:rPr>
      </w:pPr>
      <w:r>
        <w:rPr>
          <w:rFonts w:ascii="Courier New" w:cs="Courier New" w:eastAsia="Courier New" w:hAnsi="Courier New"/>
          <w:sz w:val="18"/>
          <w:szCs w:val="18"/>
          <w:color w:val="auto"/>
        </w:rPr>
        <w:t>2.12</w:t>
        <w:tab/>
        <w:t>Amendment of Section 4.6.</w:t>
      </w:r>
      <w:r>
        <w:rPr>
          <w:sz w:val="20"/>
          <w:szCs w:val="20"/>
          <w:color w:val="auto"/>
        </w:rPr>
        <w:tab/>
      </w:r>
      <w:r>
        <w:rPr>
          <w:rFonts w:ascii="Courier New" w:cs="Courier New" w:eastAsia="Courier New" w:hAnsi="Courier New"/>
          <w:sz w:val="16"/>
          <w:szCs w:val="16"/>
          <w:color w:val="auto"/>
        </w:rPr>
        <w:t>Section 4.6 of the License Agreement is hereby</w:t>
      </w:r>
    </w:p>
    <w:p>
      <w:pPr>
        <w:spacing w:after="0" w:line="2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amended to read as set forth below.</w:t>
      </w:r>
    </w:p>
    <w:p>
      <w:pPr>
        <w:spacing w:after="0" w:line="169"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4.6</w:t>
      </w:r>
      <w:r>
        <w:rPr>
          <w:sz w:val="20"/>
          <w:szCs w:val="20"/>
          <w:color w:val="auto"/>
        </w:rPr>
        <w:tab/>
      </w:r>
      <w:r>
        <w:rPr>
          <w:rFonts w:ascii="Courier New" w:cs="Courier New" w:eastAsia="Courier New" w:hAnsi="Courier New"/>
          <w:sz w:val="16"/>
          <w:szCs w:val="16"/>
          <w:color w:val="auto"/>
        </w:rPr>
        <w:t>Collaboration.</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160" w:hanging="520"/>
        <w:spacing w:after="0"/>
        <w:tabs>
          <w:tab w:leader="none" w:pos="11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Taisho will fund conduct of the Collaboration by no less than *****</w:t>
      </w:r>
    </w:p>
    <w:p>
      <w:pPr>
        <w:spacing w:after="0" w:line="30" w:lineRule="exact"/>
        <w:rPr>
          <w:rFonts w:ascii="Courier New" w:cs="Courier New" w:eastAsia="Courier New" w:hAnsi="Courier New"/>
          <w:sz w:val="18"/>
          <w:szCs w:val="18"/>
          <w:color w:val="auto"/>
        </w:rPr>
      </w:pPr>
    </w:p>
    <w:p>
      <w:pPr>
        <w:ind w:left="1160" w:right="1779"/>
        <w:spacing w:after="0" w:line="25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Neurocrine FTEs (full time equivalents equal to ***** hours per year) for a period of *****. Taisho will compensate Neurocrine for the Neurocrine FTEs at a rate of ***** per FTE per *****. The Neurocrine FTEs will be devoted *****. The number of Neurocrine FTEs may be increased or decreased and/or extended beyond the initial ***** term upon mutual agreement of the Parties.</w:t>
      </w:r>
    </w:p>
    <w:p>
      <w:pPr>
        <w:spacing w:after="0" w:line="101" w:lineRule="exact"/>
        <w:rPr>
          <w:rFonts w:ascii="Courier New" w:cs="Courier New" w:eastAsia="Courier New" w:hAnsi="Courier New"/>
          <w:sz w:val="18"/>
          <w:szCs w:val="18"/>
          <w:color w:val="auto"/>
        </w:rPr>
      </w:pPr>
    </w:p>
    <w:p>
      <w:pPr>
        <w:ind w:left="1160" w:right="1779" w:hanging="520"/>
        <w:spacing w:after="0" w:line="253" w:lineRule="auto"/>
        <w:tabs>
          <w:tab w:leader="none" w:pos="11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Taisho may request that Neurocrine conduct on Taisho's behalf certain research, pre-clinical studies, and/or clinical studies on Products set forth in Development Plan as a part of the Collaboration. In the event such research, pre-clinical studies, and/or clinical studies shall not be covered by the Neurocrine FTEs set forth in (a) above, Taisho will compensate Neurocrine for additional Neurocrine FTEs devoted to such research, pre-clinical studies, and/or clinical studies at a rate of *****.</w:t>
      </w: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w:t>
      </w:r>
    </w:p>
    <w:p>
      <w:pPr>
        <w:spacing w:after="0" w:line="31" w:lineRule="exact"/>
        <w:rPr>
          <w:sz w:val="20"/>
          <w:szCs w:val="20"/>
          <w:color w:val="auto"/>
        </w:rPr>
      </w:pPr>
    </w:p>
    <w:p>
      <w:pPr>
        <w:ind w:left="4120" w:right="2939" w:hanging="4112"/>
        <w:spacing w:after="0" w:line="547" w:lineRule="auto"/>
        <w:tabs>
          <w:tab w:leader="none" w:pos="644"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treatment has been requested for omitted portions. 4</w:t>
      </w:r>
    </w:p>
    <w:p>
      <w:pPr>
        <w:sectPr>
          <w:pgSz w:w="11900" w:h="16838" w:orient="portrait"/>
          <w:cols w:equalWidth="0" w:num="1">
            <w:col w:w="10219"/>
          </w:cols>
          <w:pgMar w:left="240" w:top="691" w:right="1440" w:bottom="1440" w:gutter="0" w:footer="0" w:header="0"/>
        </w:sectPr>
      </w:pPr>
    </w:p>
    <w:bookmarkStart w:id="13" w:name="page14"/>
    <w:bookmarkEnd w:id="13"/>
    <w:p>
      <w:pPr>
        <w:spacing w:after="0"/>
        <w:tabs>
          <w:tab w:leader="none" w:pos="620" w:val="left"/>
        </w:tabs>
        <w:rPr>
          <w:sz w:val="20"/>
          <w:szCs w:val="20"/>
          <w:color w:val="auto"/>
        </w:rPr>
      </w:pPr>
      <w:r>
        <w:rPr>
          <w:rFonts w:ascii="Courier New" w:cs="Courier New" w:eastAsia="Courier New" w:hAnsi="Courier New"/>
          <w:sz w:val="18"/>
          <w:szCs w:val="18"/>
          <w:color w:val="auto"/>
        </w:rPr>
        <w:t>2.13</w:t>
      </w:r>
      <w:r>
        <w:rPr>
          <w:sz w:val="20"/>
          <w:szCs w:val="20"/>
          <w:color w:val="auto"/>
        </w:rPr>
        <w:tab/>
      </w:r>
      <w:r>
        <w:rPr>
          <w:rFonts w:ascii="Courier New" w:cs="Courier New" w:eastAsia="Courier New" w:hAnsi="Courier New"/>
          <w:sz w:val="16"/>
          <w:szCs w:val="16"/>
          <w:color w:val="auto"/>
        </w:rPr>
        <w:t>Amendment of Section 4.8. Section 4.8 of the License Agreement is hereby</w:t>
      </w:r>
    </w:p>
    <w:p>
      <w:pPr>
        <w:spacing w:after="0" w:line="2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amended to read as set forth below.</w:t>
      </w:r>
    </w:p>
    <w:p>
      <w:pPr>
        <w:spacing w:after="0" w:line="169"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4.8</w:t>
      </w:r>
      <w:r>
        <w:rPr>
          <w:sz w:val="20"/>
          <w:szCs w:val="20"/>
          <w:color w:val="auto"/>
        </w:rPr>
        <w:tab/>
      </w:r>
      <w:r>
        <w:rPr>
          <w:rFonts w:ascii="Courier New" w:cs="Courier New" w:eastAsia="Courier New" w:hAnsi="Courier New"/>
          <w:sz w:val="16"/>
          <w:szCs w:val="16"/>
          <w:color w:val="auto"/>
        </w:rPr>
        <w:t>Development Cost. ***** of all studies and activities and in-house</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ind w:left="640" w:right="1999"/>
        <w:spacing w:after="0" w:line="268" w:lineRule="auto"/>
        <w:rPr>
          <w:sz w:val="20"/>
          <w:szCs w:val="20"/>
          <w:color w:val="auto"/>
        </w:rPr>
      </w:pPr>
      <w:r>
        <w:rPr>
          <w:rFonts w:ascii="Courier New" w:cs="Courier New" w:eastAsia="Courier New" w:hAnsi="Courier New"/>
          <w:sz w:val="16"/>
          <w:szCs w:val="16"/>
          <w:color w:val="auto"/>
        </w:rPr>
        <w:t>study costs approved by the JSC based upon the Five Year Plan and the Development Plan, which are conducted after (effective date of this Amendment), *****. The outside costs of all studies and activities *****</w:t>
      </w:r>
    </w:p>
    <w:p>
      <w:pPr>
        <w:spacing w:after="0" w:line="1" w:lineRule="exact"/>
        <w:rPr>
          <w:sz w:val="20"/>
          <w:szCs w:val="20"/>
          <w:color w:val="auto"/>
        </w:rPr>
      </w:pPr>
    </w:p>
    <w:p>
      <w:pPr>
        <w:ind w:left="640" w:right="2319"/>
        <w:spacing w:after="0" w:line="268" w:lineRule="auto"/>
        <w:rPr>
          <w:sz w:val="20"/>
          <w:szCs w:val="20"/>
          <w:color w:val="auto"/>
        </w:rPr>
      </w:pPr>
      <w:r>
        <w:rPr>
          <w:rFonts w:ascii="Courier New" w:cs="Courier New" w:eastAsia="Courier New" w:hAnsi="Courier New"/>
          <w:sz w:val="16"/>
          <w:szCs w:val="16"/>
          <w:color w:val="auto"/>
        </w:rPr>
        <w:t>approved by the JSC based upon the Five Year Plan and the Development Plan, which are conducted from the execution of this Agreement until (effective date of this Amendment), shall be ***** in accordance with</w:t>
      </w:r>
    </w:p>
    <w:p>
      <w:pPr>
        <w:spacing w:after="0" w:line="1" w:lineRule="exact"/>
        <w:rPr>
          <w:sz w:val="20"/>
          <w:szCs w:val="20"/>
          <w:color w:val="auto"/>
        </w:rPr>
      </w:pPr>
    </w:p>
    <w:p>
      <w:pPr>
        <w:ind w:left="640" w:right="1779"/>
        <w:spacing w:after="0" w:line="256" w:lineRule="auto"/>
        <w:tabs>
          <w:tab w:leader="none" w:pos="127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be agreed by the Parties. Additionally, Taisho shall reimburse Neurocrine ***** of all development expenses for the Licensed Territory that occurred from December 25, 1999 to the execution of this Agreement. Such reimbursement will be due within thirty (30) days of the execution of this Agreement.</w:t>
      </w:r>
    </w:p>
    <w:p>
      <w:pPr>
        <w:spacing w:after="0" w:line="96"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2.14</w:t>
      </w:r>
      <w:r>
        <w:rPr>
          <w:sz w:val="20"/>
          <w:szCs w:val="20"/>
          <w:color w:val="auto"/>
        </w:rPr>
        <w:tab/>
      </w:r>
      <w:r>
        <w:rPr>
          <w:rFonts w:ascii="Courier New" w:cs="Courier New" w:eastAsia="Courier New" w:hAnsi="Courier New"/>
          <w:sz w:val="16"/>
          <w:szCs w:val="16"/>
          <w:color w:val="auto"/>
        </w:rPr>
        <w:t>Amendment of Section 4.9. Section 4.9 of the License Agreement is hereby</w:t>
      </w:r>
    </w:p>
    <w:p>
      <w:pPr>
        <w:spacing w:after="0" w:line="2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amended to read as set forth below.</w:t>
      </w:r>
    </w:p>
    <w:p>
      <w:pPr>
        <w:spacing w:after="0" w:line="169" w:lineRule="exact"/>
        <w:rPr>
          <w:sz w:val="20"/>
          <w:szCs w:val="20"/>
          <w:color w:val="auto"/>
        </w:rPr>
      </w:pPr>
    </w:p>
    <w:p>
      <w:pPr>
        <w:ind w:left="640"/>
        <w:spacing w:after="0"/>
        <w:tabs>
          <w:tab w:leader="none" w:pos="1140" w:val="left"/>
          <w:tab w:leader="none" w:pos="3260" w:val="left"/>
        </w:tabs>
        <w:rPr>
          <w:sz w:val="20"/>
          <w:szCs w:val="20"/>
          <w:color w:val="auto"/>
        </w:rPr>
      </w:pPr>
      <w:r>
        <w:rPr>
          <w:rFonts w:ascii="Courier New" w:cs="Courier New" w:eastAsia="Courier New" w:hAnsi="Courier New"/>
          <w:sz w:val="18"/>
          <w:szCs w:val="18"/>
          <w:color w:val="auto"/>
        </w:rPr>
        <w:t>4.9</w:t>
        <w:tab/>
        <w:t>Commercialization.</w:t>
      </w:r>
      <w:r>
        <w:rPr>
          <w:sz w:val="20"/>
          <w:szCs w:val="20"/>
          <w:color w:val="auto"/>
        </w:rPr>
        <w:tab/>
      </w:r>
      <w:r>
        <w:rPr>
          <w:rFonts w:ascii="Courier New" w:cs="Courier New" w:eastAsia="Courier New" w:hAnsi="Courier New"/>
          <w:sz w:val="16"/>
          <w:szCs w:val="16"/>
          <w:color w:val="auto"/>
        </w:rPr>
        <w:t>The JSC shall monitor the Commercialization of</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jc w:val="both"/>
        <w:ind w:left="640" w:right="2099"/>
        <w:spacing w:after="0" w:line="273" w:lineRule="auto"/>
        <w:rPr>
          <w:sz w:val="20"/>
          <w:szCs w:val="20"/>
          <w:color w:val="auto"/>
        </w:rPr>
      </w:pPr>
      <w:r>
        <w:rPr>
          <w:rFonts w:ascii="Courier New" w:cs="Courier New" w:eastAsia="Courier New" w:hAnsi="Courier New"/>
          <w:sz w:val="18"/>
          <w:szCs w:val="18"/>
          <w:color w:val="auto"/>
        </w:rPr>
        <w:t>Products. All matters relating to Commercialization of Products in the Licensed Territory shall be decided by Taisho in Taisho's sole business judgment.</w:t>
      </w:r>
    </w:p>
    <w:p>
      <w:pPr>
        <w:spacing w:after="0" w:line="82" w:lineRule="exact"/>
        <w:rPr>
          <w:sz w:val="20"/>
          <w:szCs w:val="20"/>
          <w:color w:val="auto"/>
        </w:rPr>
      </w:pPr>
    </w:p>
    <w:p>
      <w:pPr>
        <w:spacing w:after="0"/>
        <w:tabs>
          <w:tab w:leader="none" w:pos="620" w:val="left"/>
          <w:tab w:leader="none" w:pos="3560" w:val="left"/>
        </w:tabs>
        <w:rPr>
          <w:sz w:val="20"/>
          <w:szCs w:val="20"/>
          <w:color w:val="auto"/>
        </w:rPr>
      </w:pPr>
      <w:r>
        <w:rPr>
          <w:rFonts w:ascii="Courier New" w:cs="Courier New" w:eastAsia="Courier New" w:hAnsi="Courier New"/>
          <w:sz w:val="18"/>
          <w:szCs w:val="18"/>
          <w:color w:val="auto"/>
        </w:rPr>
        <w:t>2.15</w:t>
        <w:tab/>
        <w:t>Amendment of Section 4.10.</w:t>
      </w:r>
      <w:r>
        <w:rPr>
          <w:sz w:val="20"/>
          <w:szCs w:val="20"/>
          <w:color w:val="auto"/>
        </w:rPr>
        <w:tab/>
      </w:r>
      <w:r>
        <w:rPr>
          <w:rFonts w:ascii="Courier New" w:cs="Courier New" w:eastAsia="Courier New" w:hAnsi="Courier New"/>
          <w:sz w:val="16"/>
          <w:szCs w:val="16"/>
          <w:color w:val="auto"/>
        </w:rPr>
        <w:t>Section 4.10 of the License Agreement is</w:t>
      </w:r>
    </w:p>
    <w:p>
      <w:pPr>
        <w:spacing w:after="0" w:line="2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hereby amended to read as set forth below.</w:t>
      </w:r>
    </w:p>
    <w:p>
      <w:pPr>
        <w:spacing w:after="0" w:line="169" w:lineRule="exact"/>
        <w:rPr>
          <w:sz w:val="20"/>
          <w:szCs w:val="20"/>
          <w:color w:val="auto"/>
        </w:rPr>
      </w:pPr>
    </w:p>
    <w:p>
      <w:pPr>
        <w:ind w:left="640"/>
        <w:spacing w:after="0"/>
        <w:tabs>
          <w:tab w:leader="none" w:pos="2420" w:val="left"/>
        </w:tabs>
        <w:rPr>
          <w:sz w:val="20"/>
          <w:szCs w:val="20"/>
          <w:color w:val="auto"/>
        </w:rPr>
      </w:pPr>
      <w:r>
        <w:rPr>
          <w:rFonts w:ascii="Courier New" w:cs="Courier New" w:eastAsia="Courier New" w:hAnsi="Courier New"/>
          <w:sz w:val="18"/>
          <w:szCs w:val="18"/>
          <w:color w:val="auto"/>
        </w:rPr>
        <w:t>4.10 Reporting.</w:t>
      </w:r>
      <w:r>
        <w:rPr>
          <w:sz w:val="20"/>
          <w:szCs w:val="20"/>
          <w:color w:val="auto"/>
        </w:rPr>
        <w:tab/>
      </w:r>
      <w:r>
        <w:rPr>
          <w:rFonts w:ascii="Courier New" w:cs="Courier New" w:eastAsia="Courier New" w:hAnsi="Courier New"/>
          <w:sz w:val="16"/>
          <w:szCs w:val="16"/>
          <w:color w:val="auto"/>
        </w:rPr>
        <w:t>Neurocrine and Taisho shall each promptly notify the</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ind w:left="640" w:right="1879"/>
        <w:spacing w:after="0" w:line="250" w:lineRule="auto"/>
        <w:rPr>
          <w:sz w:val="20"/>
          <w:szCs w:val="20"/>
          <w:color w:val="auto"/>
        </w:rPr>
      </w:pPr>
      <w:r>
        <w:rPr>
          <w:rFonts w:ascii="Courier New" w:cs="Courier New" w:eastAsia="Courier New" w:hAnsi="Courier New"/>
          <w:sz w:val="18"/>
          <w:szCs w:val="18"/>
          <w:color w:val="auto"/>
        </w:rPr>
        <w:t>other of any events that come to their attention which shall be reported to any Governmental Authorities under any laws and regulations including 21 CFR 314.80, 600.12, 600.14 and 600.80 of the United States (as such requirements may be amended from time to time) and any similar or equivalent reporting requirements to other Governmental Authorities. As for the events that occur in the context of clinical trials, both Parties shall comply with provisions of Exhibit F.</w:t>
      </w:r>
    </w:p>
    <w:p>
      <w:pPr>
        <w:spacing w:after="0" w:line="102" w:lineRule="exact"/>
        <w:rPr>
          <w:sz w:val="20"/>
          <w:szCs w:val="20"/>
          <w:color w:val="auto"/>
        </w:rPr>
      </w:pPr>
    </w:p>
    <w:p>
      <w:pPr>
        <w:spacing w:after="0"/>
        <w:tabs>
          <w:tab w:leader="none" w:pos="620" w:val="left"/>
          <w:tab w:leader="none" w:pos="3260" w:val="left"/>
        </w:tabs>
        <w:rPr>
          <w:sz w:val="20"/>
          <w:szCs w:val="20"/>
          <w:color w:val="auto"/>
        </w:rPr>
      </w:pPr>
      <w:r>
        <w:rPr>
          <w:rFonts w:ascii="Courier New" w:cs="Courier New" w:eastAsia="Courier New" w:hAnsi="Courier New"/>
          <w:sz w:val="18"/>
          <w:szCs w:val="18"/>
          <w:color w:val="auto"/>
        </w:rPr>
        <w:t>2.16</w:t>
        <w:tab/>
        <w:t>Amendment of Article 5.</w:t>
      </w:r>
      <w:r>
        <w:rPr>
          <w:sz w:val="20"/>
          <w:szCs w:val="20"/>
          <w:color w:val="auto"/>
        </w:rPr>
        <w:tab/>
      </w:r>
      <w:r>
        <w:rPr>
          <w:rFonts w:ascii="Courier New" w:cs="Courier New" w:eastAsia="Courier New" w:hAnsi="Courier New"/>
          <w:sz w:val="16"/>
          <w:szCs w:val="16"/>
          <w:color w:val="auto"/>
        </w:rPr>
        <w:t>Article 5 of the License Agreement is hereby</w:t>
      </w:r>
    </w:p>
    <w:p>
      <w:pPr>
        <w:spacing w:after="0" w:line="2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amended to read as set forth below.</w:t>
      </w:r>
    </w:p>
    <w:p>
      <w:pPr>
        <w:spacing w:after="0" w:line="16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5</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LICENSE FEES AND MILESTONE PAYMENTS</w:t>
      </w:r>
    </w:p>
    <w:p>
      <w:pPr>
        <w:spacing w:after="0" w:line="201"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LICENSE FEES AND MILESTONE PAYMENTS FOR ASIA AND EUROPE.</w:t>
      </w:r>
    </w:p>
    <w:p>
      <w:pPr>
        <w:spacing w:after="0" w:line="201" w:lineRule="exact"/>
        <w:rPr>
          <w:sz w:val="20"/>
          <w:szCs w:val="20"/>
          <w:color w:val="auto"/>
        </w:rPr>
      </w:pPr>
    </w:p>
    <w:p>
      <w:pPr>
        <w:ind w:left="640"/>
        <w:spacing w:after="0"/>
        <w:tabs>
          <w:tab w:leader="none" w:pos="1360" w:val="left"/>
        </w:tabs>
        <w:rPr>
          <w:sz w:val="20"/>
          <w:szCs w:val="20"/>
          <w:color w:val="auto"/>
        </w:rPr>
      </w:pPr>
      <w:r>
        <w:rPr>
          <w:rFonts w:ascii="Courier New" w:cs="Courier New" w:eastAsia="Courier New" w:hAnsi="Courier New"/>
          <w:sz w:val="18"/>
          <w:szCs w:val="18"/>
          <w:color w:val="auto"/>
        </w:rPr>
        <w:t>5.1A</w:t>
      </w:r>
      <w:r>
        <w:rPr>
          <w:sz w:val="20"/>
          <w:szCs w:val="20"/>
          <w:color w:val="auto"/>
        </w:rPr>
        <w:tab/>
      </w:r>
      <w:r>
        <w:rPr>
          <w:rFonts w:ascii="Courier New" w:cs="Courier New" w:eastAsia="Courier New" w:hAnsi="Courier New"/>
          <w:sz w:val="16"/>
          <w:szCs w:val="16"/>
          <w:color w:val="auto"/>
        </w:rPr>
        <w:t>Data Purchase. On execution of this Agreement, Taisho shall</w:t>
      </w:r>
    </w:p>
    <w:p>
      <w:pPr>
        <w:spacing w:after="0" w:line="3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w:t>
      </w:r>
    </w:p>
    <w:p>
      <w:pPr>
        <w:spacing w:after="0" w:line="31" w:lineRule="exact"/>
        <w:rPr>
          <w:sz w:val="20"/>
          <w:szCs w:val="20"/>
          <w:color w:val="auto"/>
        </w:rPr>
      </w:pPr>
    </w:p>
    <w:p>
      <w:pPr>
        <w:ind w:left="4120" w:right="2939" w:hanging="4112"/>
        <w:spacing w:after="0" w:line="547" w:lineRule="auto"/>
        <w:tabs>
          <w:tab w:leader="none" w:pos="644"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treatment has been requested for omitted portions. 5</w:t>
      </w:r>
    </w:p>
    <w:p>
      <w:pPr>
        <w:sectPr>
          <w:pgSz w:w="11900" w:h="16838" w:orient="portrait"/>
          <w:cols w:equalWidth="0" w:num="1">
            <w:col w:w="10219"/>
          </w:cols>
          <w:pgMar w:left="240" w:top="691" w:right="1440" w:bottom="1440" w:gutter="0" w:footer="0" w:header="0"/>
        </w:sectPr>
      </w:pPr>
    </w:p>
    <w:bookmarkStart w:id="14" w:name="page15"/>
    <w:bookmarkEnd w:id="14"/>
    <w:p>
      <w:pPr>
        <w:ind w:left="540" w:right="1779"/>
        <w:spacing w:after="0" w:line="256" w:lineRule="auto"/>
        <w:rPr>
          <w:sz w:val="20"/>
          <w:szCs w:val="20"/>
          <w:color w:val="auto"/>
        </w:rPr>
      </w:pPr>
      <w:r>
        <w:rPr>
          <w:rFonts w:ascii="Courier New" w:cs="Courier New" w:eastAsia="Courier New" w:hAnsi="Courier New"/>
          <w:sz w:val="18"/>
          <w:szCs w:val="18"/>
          <w:color w:val="auto"/>
        </w:rPr>
        <w:t>purchase from Neurocrine rights to the Neurocrine CTX filing for NBI-6024 and all supporting data and information for use in exploitation of the Asian rights granted hereunder for a one-time payment of ***** and rights to the Neurocrine CTX filing for NBI-6024 and all supporting data and information for use in exploitation of the European rights granted hereunder for a one-time payment of *****. The above payments shall be made within thirty (30) days of execution of this Agreement.</w:t>
      </w:r>
    </w:p>
    <w:p>
      <w:pPr>
        <w:spacing w:after="0" w:line="98" w:lineRule="exact"/>
        <w:rPr>
          <w:sz w:val="20"/>
          <w:szCs w:val="20"/>
          <w:color w:val="auto"/>
        </w:rPr>
      </w:pPr>
    </w:p>
    <w:p>
      <w:pPr>
        <w:ind w:left="540"/>
        <w:spacing w:after="0"/>
        <w:tabs>
          <w:tab w:leader="none" w:pos="1140" w:val="left"/>
          <w:tab w:leader="none" w:pos="3360" w:val="left"/>
        </w:tabs>
        <w:rPr>
          <w:sz w:val="20"/>
          <w:szCs w:val="20"/>
          <w:color w:val="auto"/>
        </w:rPr>
      </w:pPr>
      <w:r>
        <w:rPr>
          <w:rFonts w:ascii="Courier New" w:cs="Courier New" w:eastAsia="Courier New" w:hAnsi="Courier New"/>
          <w:sz w:val="18"/>
          <w:szCs w:val="18"/>
          <w:color w:val="auto"/>
        </w:rPr>
        <w:t>5.1B</w:t>
        <w:tab/>
        <w:t>Milestone Payments.</w:t>
      </w:r>
      <w:r>
        <w:rPr>
          <w:sz w:val="20"/>
          <w:szCs w:val="20"/>
          <w:color w:val="auto"/>
        </w:rPr>
        <w:tab/>
      </w:r>
      <w:r>
        <w:rPr>
          <w:rFonts w:ascii="Courier New" w:cs="Courier New" w:eastAsia="Courier New" w:hAnsi="Courier New"/>
          <w:sz w:val="16"/>
          <w:szCs w:val="16"/>
          <w:color w:val="auto"/>
        </w:rPr>
        <w:t>At the first occurrence of the events as to the</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ind w:left="540" w:right="1879"/>
        <w:spacing w:after="0" w:line="286" w:lineRule="auto"/>
        <w:rPr>
          <w:sz w:val="20"/>
          <w:szCs w:val="20"/>
          <w:color w:val="auto"/>
        </w:rPr>
      </w:pPr>
      <w:r>
        <w:rPr>
          <w:rFonts w:ascii="Courier New" w:cs="Courier New" w:eastAsia="Courier New" w:hAnsi="Courier New"/>
          <w:sz w:val="16"/>
          <w:szCs w:val="16"/>
          <w:color w:val="auto"/>
        </w:rPr>
        <w:t>Product first applicable to the events set forth below, within thirty (30) days after Taisho becomes aware of it, Taisho shall pay the corresponding amounts as the Milestone Payments for the rights in Asian countries and European countries to Products granted to it as long as this Agreement is in force and effect, provided, however, as to the events which occurred before the execution of this Agreement, Taisho shall pay the corresponding amount within thirty (30) days of the execution of this Agreement:</w:t>
      </w:r>
    </w:p>
    <w:p>
      <w:pPr>
        <w:spacing w:after="0" w:line="279" w:lineRule="exact"/>
        <w:rPr>
          <w:sz w:val="20"/>
          <w:szCs w:val="20"/>
          <w:color w:val="auto"/>
        </w:rPr>
      </w:pPr>
    </w:p>
    <w:tbl>
      <w:tblPr>
        <w:tblLayout w:type="fixed"/>
        <w:tblInd w:w="540" w:type="dxa"/>
        <w:tblCellMar>
          <w:top w:w="0" w:type="dxa"/>
          <w:left w:w="0" w:type="dxa"/>
          <w:bottom w:w="0" w:type="dxa"/>
          <w:right w:w="0" w:type="dxa"/>
        </w:tblCellMar>
      </w:tblPr>
      <w:tr>
        <w:trPr>
          <w:trHeight w:val="296"/>
        </w:trPr>
        <w:tc>
          <w:tcPr>
            <w:tcW w:w="1840" w:type="dxa"/>
            <w:vAlign w:val="bottom"/>
          </w:tcPr>
          <w:p>
            <w:pPr>
              <w:spacing w:after="0"/>
              <w:rPr>
                <w:sz w:val="20"/>
                <w:szCs w:val="20"/>
                <w:color w:val="auto"/>
              </w:rPr>
            </w:pPr>
            <w:r>
              <w:rPr>
                <w:rFonts w:ascii="Courier New" w:cs="Courier New" w:eastAsia="Courier New" w:hAnsi="Courier New"/>
                <w:sz w:val="18"/>
                <w:szCs w:val="18"/>
                <w:color w:val="auto"/>
                <w:w w:val="99"/>
              </w:rPr>
              <w:t>a) for the rights</w:t>
            </w:r>
          </w:p>
        </w:tc>
        <w:tc>
          <w:tcPr>
            <w:tcW w:w="9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in Japan</w:t>
            </w:r>
          </w:p>
        </w:tc>
        <w:tc>
          <w:tcPr>
            <w:tcW w:w="3480" w:type="dxa"/>
            <w:vAlign w:val="bottom"/>
          </w:tcPr>
          <w:p>
            <w:pPr>
              <w:ind w:left="60"/>
              <w:spacing w:after="0"/>
              <w:rPr>
                <w:sz w:val="20"/>
                <w:szCs w:val="20"/>
                <w:color w:val="auto"/>
              </w:rPr>
            </w:pPr>
            <w:r>
              <w:rPr>
                <w:rFonts w:ascii="Courier New" w:cs="Courier New" w:eastAsia="Courier New" w:hAnsi="Courier New"/>
                <w:sz w:val="18"/>
                <w:szCs w:val="18"/>
                <w:color w:val="auto"/>
              </w:rPr>
              <w:t>and other Asian countries</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total $*****</w:t>
            </w:r>
          </w:p>
        </w:tc>
        <w:tc>
          <w:tcPr>
            <w:tcW w:w="0" w:type="dxa"/>
            <w:vAlign w:val="bottom"/>
          </w:tcPr>
          <w:p>
            <w:pPr>
              <w:spacing w:after="0"/>
              <w:rPr>
                <w:sz w:val="1"/>
                <w:szCs w:val="1"/>
                <w:color w:val="auto"/>
              </w:rPr>
            </w:pPr>
          </w:p>
        </w:tc>
      </w:tr>
      <w:tr>
        <w:trPr>
          <w:trHeight w:val="405"/>
        </w:trPr>
        <w:tc>
          <w:tcPr>
            <w:tcW w:w="2360" w:type="dxa"/>
            <w:vAlign w:val="bottom"/>
            <w:gridSpan w:val="2"/>
          </w:tcPr>
          <w:p>
            <w:pPr>
              <w:spacing w:after="0"/>
              <w:rPr>
                <w:sz w:val="20"/>
                <w:szCs w:val="20"/>
                <w:color w:val="auto"/>
              </w:rPr>
            </w:pPr>
            <w:r>
              <w:rPr>
                <w:rFonts w:ascii="Courier New" w:cs="Courier New" w:eastAsia="Courier New" w:hAnsi="Courier New"/>
                <w:sz w:val="18"/>
                <w:szCs w:val="18"/>
                <w:color w:val="auto"/>
                <w:w w:val="98"/>
              </w:rPr>
              <w:t>. ***** Phase II *****</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2480" w:type="dxa"/>
            <w:vAlign w:val="bottom"/>
            <w:gridSpan w:val="3"/>
          </w:tcPr>
          <w:p>
            <w:pPr>
              <w:spacing w:after="0"/>
              <w:rPr>
                <w:sz w:val="20"/>
                <w:szCs w:val="20"/>
                <w:color w:val="auto"/>
              </w:rPr>
            </w:pPr>
            <w:r>
              <w:rPr>
                <w:rFonts w:ascii="Courier New" w:cs="Courier New" w:eastAsia="Courier New" w:hAnsi="Courier New"/>
                <w:sz w:val="18"/>
                <w:szCs w:val="18"/>
                <w:color w:val="auto"/>
                <w:w w:val="99"/>
              </w:rPr>
              <w:t>. ***** Pediatric Phase</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II</w:t>
            </w:r>
          </w:p>
        </w:tc>
        <w:tc>
          <w:tcPr>
            <w:tcW w:w="348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2480" w:type="dxa"/>
            <w:vAlign w:val="bottom"/>
            <w:gridSpan w:val="3"/>
          </w:tcPr>
          <w:p>
            <w:pPr>
              <w:spacing w:after="0"/>
              <w:rPr>
                <w:sz w:val="20"/>
                <w:szCs w:val="20"/>
                <w:color w:val="auto"/>
              </w:rPr>
            </w:pPr>
            <w:r>
              <w:rPr>
                <w:rFonts w:ascii="Courier New" w:cs="Courier New" w:eastAsia="Courier New" w:hAnsi="Courier New"/>
                <w:sz w:val="18"/>
                <w:szCs w:val="18"/>
                <w:color w:val="auto"/>
                <w:w w:val="99"/>
              </w:rPr>
              <w:t>. ***** Phase III *****</w:t>
            </w:r>
          </w:p>
        </w:tc>
        <w:tc>
          <w:tcPr>
            <w:tcW w:w="3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2360" w:type="dxa"/>
            <w:vAlign w:val="bottom"/>
            <w:gridSpan w:val="2"/>
          </w:tcPr>
          <w:p>
            <w:pPr>
              <w:spacing w:after="0"/>
              <w:rPr>
                <w:sz w:val="20"/>
                <w:szCs w:val="20"/>
                <w:color w:val="auto"/>
              </w:rPr>
            </w:pPr>
            <w:r>
              <w:rPr>
                <w:rFonts w:ascii="Courier New" w:cs="Courier New" w:eastAsia="Courier New" w:hAnsi="Courier New"/>
                <w:sz w:val="18"/>
                <w:szCs w:val="18"/>
                <w:color w:val="auto"/>
                <w:w w:val="98"/>
              </w:rPr>
              <w:t>. Regulatory Filing of</w:t>
            </w:r>
          </w:p>
        </w:tc>
        <w:tc>
          <w:tcPr>
            <w:tcW w:w="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New</w:t>
            </w:r>
          </w:p>
        </w:tc>
        <w:tc>
          <w:tcPr>
            <w:tcW w:w="3480" w:type="dxa"/>
            <w:vAlign w:val="bottom"/>
          </w:tcPr>
          <w:p>
            <w:pPr>
              <w:ind w:left="60"/>
              <w:spacing w:after="0"/>
              <w:rPr>
                <w:sz w:val="20"/>
                <w:szCs w:val="20"/>
                <w:color w:val="auto"/>
              </w:rPr>
            </w:pPr>
            <w:r>
              <w:rPr>
                <w:rFonts w:ascii="Courier New" w:cs="Courier New" w:eastAsia="Courier New" w:hAnsi="Courier New"/>
                <w:sz w:val="18"/>
                <w:szCs w:val="18"/>
                <w:color w:val="auto"/>
              </w:rPr>
              <w:t>Drug Application or any other</w:t>
            </w:r>
          </w:p>
        </w:tc>
        <w:tc>
          <w:tcPr>
            <w:tcW w:w="16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2780" w:type="dxa"/>
            <w:vAlign w:val="bottom"/>
            <w:gridSpan w:val="4"/>
          </w:tcPr>
          <w:p>
            <w:pPr>
              <w:ind w:left="200"/>
              <w:spacing w:after="0"/>
              <w:rPr>
                <w:sz w:val="20"/>
                <w:szCs w:val="20"/>
                <w:color w:val="auto"/>
              </w:rPr>
            </w:pPr>
            <w:r>
              <w:rPr>
                <w:rFonts w:ascii="Courier New" w:cs="Courier New" w:eastAsia="Courier New" w:hAnsi="Courier New"/>
                <w:sz w:val="18"/>
                <w:szCs w:val="18"/>
                <w:color w:val="auto"/>
              </w:rPr>
              <w:t>comparable filing *****</w:t>
            </w:r>
          </w:p>
        </w:tc>
        <w:tc>
          <w:tcPr>
            <w:tcW w:w="348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gridSpan w:val="3"/>
          </w:tcPr>
          <w:p>
            <w:pPr>
              <w:spacing w:after="0"/>
              <w:rPr>
                <w:sz w:val="20"/>
                <w:szCs w:val="20"/>
                <w:color w:val="auto"/>
              </w:rPr>
            </w:pPr>
            <w:r>
              <w:rPr>
                <w:rFonts w:ascii="Courier New" w:cs="Courier New" w:eastAsia="Courier New" w:hAnsi="Courier New"/>
                <w:sz w:val="18"/>
                <w:szCs w:val="18"/>
                <w:color w:val="auto"/>
                <w:w w:val="99"/>
              </w:rPr>
              <w:t>. Governmental Approval</w:t>
            </w:r>
          </w:p>
        </w:tc>
        <w:tc>
          <w:tcPr>
            <w:tcW w:w="3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for Commercialization *****</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6260" w:type="dxa"/>
            <w:vAlign w:val="bottom"/>
            <w:gridSpan w:val="5"/>
          </w:tcPr>
          <w:p>
            <w:pPr>
              <w:spacing w:after="0"/>
              <w:rPr>
                <w:sz w:val="20"/>
                <w:szCs w:val="20"/>
                <w:color w:val="auto"/>
              </w:rPr>
            </w:pPr>
            <w:r>
              <w:rPr>
                <w:rFonts w:ascii="Courier New" w:cs="Courier New" w:eastAsia="Courier New" w:hAnsi="Courier New"/>
                <w:sz w:val="18"/>
                <w:szCs w:val="18"/>
                <w:color w:val="auto"/>
              </w:rPr>
              <w:t>b) for the rights in European countries</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total $*****</w:t>
            </w:r>
          </w:p>
        </w:tc>
        <w:tc>
          <w:tcPr>
            <w:tcW w:w="0" w:type="dxa"/>
            <w:vAlign w:val="bottom"/>
          </w:tcPr>
          <w:p>
            <w:pPr>
              <w:spacing w:after="0"/>
              <w:rPr>
                <w:sz w:val="1"/>
                <w:szCs w:val="1"/>
                <w:color w:val="auto"/>
              </w:rPr>
            </w:pPr>
          </w:p>
        </w:tc>
      </w:tr>
      <w:tr>
        <w:trPr>
          <w:trHeight w:val="405"/>
        </w:trPr>
        <w:tc>
          <w:tcPr>
            <w:tcW w:w="2360" w:type="dxa"/>
            <w:vAlign w:val="bottom"/>
            <w:gridSpan w:val="2"/>
          </w:tcPr>
          <w:p>
            <w:pPr>
              <w:spacing w:after="0"/>
              <w:rPr>
                <w:sz w:val="20"/>
                <w:szCs w:val="20"/>
                <w:color w:val="auto"/>
              </w:rPr>
            </w:pPr>
            <w:r>
              <w:rPr>
                <w:rFonts w:ascii="Courier New" w:cs="Courier New" w:eastAsia="Courier New" w:hAnsi="Courier New"/>
                <w:sz w:val="18"/>
                <w:szCs w:val="18"/>
                <w:color w:val="auto"/>
                <w:w w:val="98"/>
              </w:rPr>
              <w:t>. ***** Phase II *****</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2480" w:type="dxa"/>
            <w:vAlign w:val="bottom"/>
            <w:gridSpan w:val="3"/>
          </w:tcPr>
          <w:p>
            <w:pPr>
              <w:spacing w:after="0"/>
              <w:rPr>
                <w:sz w:val="20"/>
                <w:szCs w:val="20"/>
                <w:color w:val="auto"/>
              </w:rPr>
            </w:pPr>
            <w:r>
              <w:rPr>
                <w:rFonts w:ascii="Courier New" w:cs="Courier New" w:eastAsia="Courier New" w:hAnsi="Courier New"/>
                <w:sz w:val="18"/>
                <w:szCs w:val="18"/>
                <w:color w:val="auto"/>
                <w:w w:val="99"/>
              </w:rPr>
              <w:t>. ***** Pediatric Phase</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II</w:t>
            </w:r>
          </w:p>
        </w:tc>
        <w:tc>
          <w:tcPr>
            <w:tcW w:w="348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2480" w:type="dxa"/>
            <w:vAlign w:val="bottom"/>
            <w:gridSpan w:val="3"/>
          </w:tcPr>
          <w:p>
            <w:pPr>
              <w:spacing w:after="0"/>
              <w:rPr>
                <w:sz w:val="20"/>
                <w:szCs w:val="20"/>
                <w:color w:val="auto"/>
              </w:rPr>
            </w:pPr>
            <w:r>
              <w:rPr>
                <w:rFonts w:ascii="Courier New" w:cs="Courier New" w:eastAsia="Courier New" w:hAnsi="Courier New"/>
                <w:sz w:val="18"/>
                <w:szCs w:val="18"/>
                <w:color w:val="auto"/>
                <w:w w:val="99"/>
              </w:rPr>
              <w:t>. ***** Phase III *****</w:t>
            </w:r>
          </w:p>
        </w:tc>
        <w:tc>
          <w:tcPr>
            <w:tcW w:w="3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2360" w:type="dxa"/>
            <w:vAlign w:val="bottom"/>
            <w:gridSpan w:val="2"/>
          </w:tcPr>
          <w:p>
            <w:pPr>
              <w:spacing w:after="0"/>
              <w:rPr>
                <w:sz w:val="20"/>
                <w:szCs w:val="20"/>
                <w:color w:val="auto"/>
              </w:rPr>
            </w:pPr>
            <w:r>
              <w:rPr>
                <w:rFonts w:ascii="Courier New" w:cs="Courier New" w:eastAsia="Courier New" w:hAnsi="Courier New"/>
                <w:sz w:val="18"/>
                <w:szCs w:val="18"/>
                <w:color w:val="auto"/>
                <w:w w:val="98"/>
              </w:rPr>
              <w:t>. Regulatory Filing of</w:t>
            </w:r>
          </w:p>
        </w:tc>
        <w:tc>
          <w:tcPr>
            <w:tcW w:w="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New</w:t>
            </w:r>
          </w:p>
        </w:tc>
        <w:tc>
          <w:tcPr>
            <w:tcW w:w="3480" w:type="dxa"/>
            <w:vAlign w:val="bottom"/>
          </w:tcPr>
          <w:p>
            <w:pPr>
              <w:ind w:left="60"/>
              <w:spacing w:after="0"/>
              <w:rPr>
                <w:sz w:val="20"/>
                <w:szCs w:val="20"/>
                <w:color w:val="auto"/>
              </w:rPr>
            </w:pPr>
            <w:r>
              <w:rPr>
                <w:rFonts w:ascii="Courier New" w:cs="Courier New" w:eastAsia="Courier New" w:hAnsi="Courier New"/>
                <w:sz w:val="18"/>
                <w:szCs w:val="18"/>
                <w:color w:val="auto"/>
              </w:rPr>
              <w:t>Drug Application or any other</w:t>
            </w:r>
          </w:p>
        </w:tc>
        <w:tc>
          <w:tcPr>
            <w:tcW w:w="16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236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9"/>
              </w:rPr>
              <w:t>comparable filing in</w:t>
            </w:r>
          </w:p>
        </w:tc>
        <w:tc>
          <w:tcPr>
            <w:tcW w:w="3900" w:type="dxa"/>
            <w:vAlign w:val="bottom"/>
            <w:gridSpan w:val="3"/>
          </w:tcPr>
          <w:p>
            <w:pPr>
              <w:jc w:val="right"/>
              <w:ind w:right="3232"/>
              <w:spacing w:after="0"/>
              <w:rPr>
                <w:sz w:val="20"/>
                <w:szCs w:val="20"/>
                <w:color w:val="auto"/>
              </w:rPr>
            </w:pPr>
            <w:r>
              <w:rPr>
                <w:rFonts w:ascii="Courier New" w:cs="Courier New" w:eastAsia="Courier New" w:hAnsi="Courier New"/>
                <w:sz w:val="18"/>
                <w:szCs w:val="18"/>
                <w:color w:val="auto"/>
              </w:rPr>
              <w:t>*****</w:t>
            </w:r>
          </w:p>
        </w:tc>
        <w:tc>
          <w:tcPr>
            <w:tcW w:w="1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gridSpan w:val="3"/>
          </w:tcPr>
          <w:p>
            <w:pPr>
              <w:spacing w:after="0"/>
              <w:rPr>
                <w:sz w:val="20"/>
                <w:szCs w:val="20"/>
                <w:color w:val="auto"/>
              </w:rPr>
            </w:pPr>
            <w:r>
              <w:rPr>
                <w:rFonts w:ascii="Courier New" w:cs="Courier New" w:eastAsia="Courier New" w:hAnsi="Courier New"/>
                <w:sz w:val="18"/>
                <w:szCs w:val="18"/>
                <w:color w:val="auto"/>
                <w:w w:val="99"/>
              </w:rPr>
              <w:t>. Governmental Approval</w:t>
            </w:r>
          </w:p>
        </w:tc>
        <w:tc>
          <w:tcPr>
            <w:tcW w:w="3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for Commercialization *****</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540" w:right="2419"/>
        <w:spacing w:after="0" w:line="347" w:lineRule="auto"/>
        <w:rPr>
          <w:sz w:val="20"/>
          <w:szCs w:val="20"/>
          <w:color w:val="auto"/>
        </w:rPr>
      </w:pPr>
      <w:r>
        <w:rPr>
          <w:rFonts w:ascii="Courier New" w:cs="Courier New" w:eastAsia="Courier New" w:hAnsi="Courier New"/>
          <w:sz w:val="18"/>
          <w:szCs w:val="18"/>
          <w:color w:val="auto"/>
        </w:rPr>
        <w:t>Each Milestone Payment shall be made only once. ***** upon Regulatory Filing</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w:t>
      </w:r>
    </w:p>
    <w:p>
      <w:pPr>
        <w:spacing w:after="0" w:line="31" w:lineRule="exact"/>
        <w:rPr>
          <w:sz w:val="20"/>
          <w:szCs w:val="20"/>
          <w:color w:val="auto"/>
        </w:rPr>
      </w:pPr>
    </w:p>
    <w:p>
      <w:pPr>
        <w:ind w:left="4120" w:right="2939" w:hanging="4112"/>
        <w:spacing w:after="0" w:line="547" w:lineRule="auto"/>
        <w:tabs>
          <w:tab w:leader="none" w:pos="644"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treatment has been requested for omitted portions. 6</w:t>
      </w:r>
    </w:p>
    <w:p>
      <w:pPr>
        <w:sectPr>
          <w:pgSz w:w="11900" w:h="16838" w:orient="portrait"/>
          <w:cols w:equalWidth="0" w:num="1">
            <w:col w:w="10219"/>
          </w:cols>
          <w:pgMar w:left="240" w:top="691" w:right="1440" w:bottom="1440" w:gutter="0" w:footer="0" w:header="0"/>
        </w:sectPr>
      </w:pPr>
    </w:p>
    <w:bookmarkStart w:id="15" w:name="page16"/>
    <w:bookmarkEnd w:id="15"/>
    <w:p>
      <w:pPr>
        <w:ind w:left="532" w:right="2099"/>
        <w:spacing w:after="0" w:line="347" w:lineRule="auto"/>
        <w:rPr>
          <w:sz w:val="20"/>
          <w:szCs w:val="20"/>
          <w:color w:val="auto"/>
        </w:rPr>
      </w:pPr>
      <w:r>
        <w:rPr>
          <w:rFonts w:ascii="Courier New" w:cs="Courier New" w:eastAsia="Courier New" w:hAnsi="Courier New"/>
          <w:sz w:val="18"/>
          <w:szCs w:val="18"/>
          <w:color w:val="auto"/>
        </w:rPr>
        <w:t>of New Drug Application or any other comparable filing in any country in Asian and European countries listed on Exhibit D.</w:t>
      </w:r>
    </w:p>
    <w:p>
      <w:pPr>
        <w:spacing w:after="0" w:line="18" w:lineRule="exact"/>
        <w:rPr>
          <w:sz w:val="20"/>
          <w:szCs w:val="20"/>
          <w:color w:val="auto"/>
        </w:rPr>
      </w:pPr>
    </w:p>
    <w:p>
      <w:pPr>
        <w:ind w:left="532"/>
        <w:spacing w:after="0"/>
        <w:tabs>
          <w:tab w:leader="none" w:pos="1032" w:val="left"/>
        </w:tabs>
        <w:rPr>
          <w:sz w:val="20"/>
          <w:szCs w:val="20"/>
          <w:color w:val="auto"/>
        </w:rPr>
      </w:pPr>
      <w:r>
        <w:rPr>
          <w:rFonts w:ascii="Courier New" w:cs="Courier New" w:eastAsia="Courier New" w:hAnsi="Courier New"/>
          <w:sz w:val="18"/>
          <w:szCs w:val="18"/>
          <w:color w:val="auto"/>
        </w:rPr>
        <w:t>5.2</w:t>
      </w:r>
      <w:r>
        <w:rPr>
          <w:sz w:val="20"/>
          <w:szCs w:val="20"/>
          <w:color w:val="auto"/>
        </w:rPr>
        <w:tab/>
      </w:r>
      <w:r>
        <w:rPr>
          <w:rFonts w:ascii="Courier New" w:cs="Courier New" w:eastAsia="Courier New" w:hAnsi="Courier New"/>
          <w:sz w:val="16"/>
          <w:szCs w:val="16"/>
          <w:color w:val="auto"/>
        </w:rPr>
        <w:t>LICENSE FEES AND MILESTONE PAYMENTS FOR REST OF WORLD.</w:t>
      </w:r>
    </w:p>
    <w:p>
      <w:pPr>
        <w:spacing w:after="0" w:line="201" w:lineRule="exact"/>
        <w:rPr>
          <w:sz w:val="20"/>
          <w:szCs w:val="20"/>
          <w:color w:val="auto"/>
        </w:rPr>
      </w:pPr>
    </w:p>
    <w:p>
      <w:pPr>
        <w:ind w:left="532"/>
        <w:spacing w:after="0"/>
        <w:tabs>
          <w:tab w:leader="none" w:pos="1352" w:val="left"/>
          <w:tab w:leader="none" w:pos="3452" w:val="left"/>
        </w:tabs>
        <w:rPr>
          <w:sz w:val="20"/>
          <w:szCs w:val="20"/>
          <w:color w:val="auto"/>
        </w:rPr>
      </w:pPr>
      <w:r>
        <w:rPr>
          <w:rFonts w:ascii="Courier New" w:cs="Courier New" w:eastAsia="Courier New" w:hAnsi="Courier New"/>
          <w:sz w:val="18"/>
          <w:szCs w:val="18"/>
          <w:color w:val="auto"/>
        </w:rPr>
        <w:t>5.2A.</w:t>
      </w:r>
      <w:r>
        <w:rPr>
          <w:sz w:val="20"/>
          <w:szCs w:val="20"/>
          <w:color w:val="auto"/>
        </w:rPr>
        <w:tab/>
      </w:r>
      <w:r>
        <w:rPr>
          <w:rFonts w:ascii="Courier New" w:cs="Courier New" w:eastAsia="Courier New" w:hAnsi="Courier New"/>
          <w:sz w:val="18"/>
          <w:szCs w:val="18"/>
          <w:color w:val="auto"/>
        </w:rPr>
        <w:t>License Issue Fee.</w:t>
      </w:r>
      <w:r>
        <w:rPr>
          <w:sz w:val="20"/>
          <w:szCs w:val="20"/>
          <w:color w:val="auto"/>
        </w:rPr>
        <w:tab/>
      </w:r>
      <w:r>
        <w:rPr>
          <w:rFonts w:ascii="Courier New" w:cs="Courier New" w:eastAsia="Courier New" w:hAnsi="Courier New"/>
          <w:sz w:val="16"/>
          <w:szCs w:val="16"/>
          <w:color w:val="auto"/>
        </w:rPr>
        <w:t>In consideration of the licenses to the</w:t>
      </w:r>
    </w:p>
    <w:p>
      <w:pPr>
        <w:spacing w:after="0" w:line="29" w:lineRule="exact"/>
        <w:rPr>
          <w:sz w:val="20"/>
          <w:szCs w:val="20"/>
          <w:color w:val="auto"/>
        </w:rPr>
      </w:pPr>
    </w:p>
    <w:p>
      <w:pPr>
        <w:ind w:left="1372"/>
        <w:spacing w:after="0"/>
        <w:rPr>
          <w:sz w:val="20"/>
          <w:szCs w:val="20"/>
          <w:color w:val="auto"/>
        </w:rPr>
      </w:pPr>
      <w:r>
        <w:rPr>
          <w:rFonts w:ascii="Courier New" w:cs="Courier New" w:eastAsia="Courier New" w:hAnsi="Courier New"/>
          <w:sz w:val="18"/>
          <w:szCs w:val="18"/>
          <w:color w:val="auto"/>
        </w:rPr>
        <w:t>------------------</w:t>
      </w:r>
    </w:p>
    <w:p>
      <w:pPr>
        <w:ind w:left="532" w:right="1879"/>
        <w:spacing w:after="0" w:line="273" w:lineRule="auto"/>
        <w:rPr>
          <w:sz w:val="20"/>
          <w:szCs w:val="20"/>
          <w:color w:val="auto"/>
        </w:rPr>
      </w:pPr>
      <w:r>
        <w:rPr>
          <w:rFonts w:ascii="Courier New" w:cs="Courier New" w:eastAsia="Courier New" w:hAnsi="Courier New"/>
          <w:sz w:val="18"/>
          <w:szCs w:val="18"/>
          <w:color w:val="auto"/>
        </w:rPr>
        <w:t>Licensed Technology in the Rest of World, Taisho will pay to Neurocrine a license fee of ***** . The above payment shall be made within thirty (30) days of execution of this Amendment.</w:t>
      </w:r>
    </w:p>
    <w:p>
      <w:pPr>
        <w:spacing w:after="0" w:line="82" w:lineRule="exact"/>
        <w:rPr>
          <w:sz w:val="20"/>
          <w:szCs w:val="20"/>
          <w:color w:val="auto"/>
        </w:rPr>
      </w:pPr>
    </w:p>
    <w:p>
      <w:pPr>
        <w:ind w:left="532"/>
        <w:spacing w:after="0"/>
        <w:tabs>
          <w:tab w:leader="none" w:pos="1132" w:val="left"/>
          <w:tab w:leader="none" w:pos="3352" w:val="left"/>
        </w:tabs>
        <w:rPr>
          <w:sz w:val="20"/>
          <w:szCs w:val="20"/>
          <w:color w:val="auto"/>
        </w:rPr>
      </w:pPr>
      <w:r>
        <w:rPr>
          <w:rFonts w:ascii="Courier New" w:cs="Courier New" w:eastAsia="Courier New" w:hAnsi="Courier New"/>
          <w:sz w:val="18"/>
          <w:szCs w:val="18"/>
          <w:color w:val="auto"/>
        </w:rPr>
        <w:t>5.2B</w:t>
        <w:tab/>
        <w:t>Milestone Payments.</w:t>
      </w:r>
      <w:r>
        <w:rPr>
          <w:sz w:val="20"/>
          <w:szCs w:val="20"/>
          <w:color w:val="auto"/>
        </w:rPr>
        <w:tab/>
      </w:r>
      <w:r>
        <w:rPr>
          <w:rFonts w:ascii="Courier New" w:cs="Courier New" w:eastAsia="Courier New" w:hAnsi="Courier New"/>
          <w:sz w:val="16"/>
          <w:szCs w:val="16"/>
          <w:color w:val="auto"/>
        </w:rPr>
        <w:t>At the first occurrence of the events as to the</w:t>
      </w:r>
    </w:p>
    <w:p>
      <w:pPr>
        <w:spacing w:after="0" w:line="29" w:lineRule="exact"/>
        <w:rPr>
          <w:sz w:val="20"/>
          <w:szCs w:val="20"/>
          <w:color w:val="auto"/>
        </w:rPr>
      </w:pPr>
    </w:p>
    <w:p>
      <w:pPr>
        <w:ind w:left="1152"/>
        <w:spacing w:after="0"/>
        <w:rPr>
          <w:sz w:val="20"/>
          <w:szCs w:val="20"/>
          <w:color w:val="auto"/>
        </w:rPr>
      </w:pPr>
      <w:r>
        <w:rPr>
          <w:rFonts w:ascii="Courier New" w:cs="Courier New" w:eastAsia="Courier New" w:hAnsi="Courier New"/>
          <w:sz w:val="18"/>
          <w:szCs w:val="18"/>
          <w:color w:val="auto"/>
        </w:rPr>
        <w:t>------------------</w:t>
      </w:r>
    </w:p>
    <w:tbl>
      <w:tblPr>
        <w:tblLayout w:type="fixed"/>
        <w:tblInd w:w="532" w:type="dxa"/>
        <w:tblCellMar>
          <w:top w:w="0" w:type="dxa"/>
          <w:left w:w="0" w:type="dxa"/>
          <w:bottom w:w="0" w:type="dxa"/>
          <w:right w:w="0" w:type="dxa"/>
        </w:tblCellMar>
      </w:tblPr>
      <w:tr>
        <w:trPr>
          <w:trHeight w:val="171"/>
        </w:trPr>
        <w:tc>
          <w:tcPr>
            <w:tcW w:w="2620" w:type="dxa"/>
            <w:vAlign w:val="bottom"/>
          </w:tcPr>
          <w:p>
            <w:pPr>
              <w:spacing w:after="0" w:line="170" w:lineRule="exact"/>
              <w:rPr>
                <w:sz w:val="20"/>
                <w:szCs w:val="20"/>
                <w:color w:val="auto"/>
              </w:rPr>
            </w:pPr>
            <w:r>
              <w:rPr>
                <w:rFonts w:ascii="Courier New" w:cs="Courier New" w:eastAsia="Courier New" w:hAnsi="Courier New"/>
                <w:sz w:val="18"/>
                <w:szCs w:val="18"/>
                <w:color w:val="auto"/>
              </w:rPr>
              <w:t>Product first applicable</w:t>
            </w:r>
          </w:p>
        </w:tc>
        <w:tc>
          <w:tcPr>
            <w:tcW w:w="1440" w:type="dxa"/>
            <w:vAlign w:val="bottom"/>
            <w:gridSpan w:val="2"/>
          </w:tcPr>
          <w:p>
            <w:pPr>
              <w:jc w:val="right"/>
              <w:spacing w:after="0" w:line="170" w:lineRule="exact"/>
              <w:rPr>
                <w:sz w:val="20"/>
                <w:szCs w:val="20"/>
                <w:color w:val="auto"/>
              </w:rPr>
            </w:pPr>
            <w:r>
              <w:rPr>
                <w:rFonts w:ascii="Courier New" w:cs="Courier New" w:eastAsia="Courier New" w:hAnsi="Courier New"/>
                <w:sz w:val="18"/>
                <w:szCs w:val="18"/>
                <w:color w:val="auto"/>
                <w:w w:val="96"/>
              </w:rPr>
              <w:t>to the events</w:t>
            </w:r>
          </w:p>
        </w:tc>
        <w:tc>
          <w:tcPr>
            <w:tcW w:w="178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w w:val="98"/>
              </w:rPr>
              <w:t>set forth below,</w:t>
            </w:r>
          </w:p>
        </w:tc>
        <w:tc>
          <w:tcPr>
            <w:tcW w:w="1480" w:type="dxa"/>
            <w:vAlign w:val="bottom"/>
            <w:gridSpan w:val="2"/>
          </w:tcPr>
          <w:p>
            <w:pPr>
              <w:ind w:left="60"/>
              <w:spacing w:after="0" w:line="170" w:lineRule="exact"/>
              <w:rPr>
                <w:sz w:val="20"/>
                <w:szCs w:val="20"/>
                <w:color w:val="auto"/>
              </w:rPr>
            </w:pPr>
            <w:r>
              <w:rPr>
                <w:rFonts w:ascii="Courier New" w:cs="Courier New" w:eastAsia="Courier New" w:hAnsi="Courier New"/>
                <w:sz w:val="18"/>
                <w:szCs w:val="18"/>
                <w:color w:val="auto"/>
                <w:w w:val="99"/>
              </w:rPr>
              <w:t>within thirty</w:t>
            </w:r>
          </w:p>
        </w:tc>
        <w:tc>
          <w:tcPr>
            <w:tcW w:w="48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rPr>
              <w:t>(30)</w:t>
            </w:r>
          </w:p>
        </w:tc>
      </w:tr>
      <w:tr>
        <w:trPr>
          <w:trHeight w:val="203"/>
        </w:trPr>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days after Taisho becomes</w:t>
            </w:r>
          </w:p>
        </w:tc>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aware of it,</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Taisho shall pay</w:t>
            </w:r>
          </w:p>
        </w:tc>
        <w:tc>
          <w:tcPr>
            <w:tcW w:w="19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the corresponding</w:t>
            </w:r>
          </w:p>
        </w:tc>
      </w:tr>
      <w:tr>
        <w:trPr>
          <w:trHeight w:val="203"/>
        </w:trPr>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amounts as the Milestone</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Payments</w:t>
            </w:r>
          </w:p>
        </w:tc>
        <w:tc>
          <w:tcPr>
            <w:tcW w:w="2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for the rights in the</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Rest</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World</w:t>
            </w:r>
          </w:p>
        </w:tc>
        <w:tc>
          <w:tcPr>
            <w:tcW w:w="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to</w:t>
            </w:r>
          </w:p>
        </w:tc>
      </w:tr>
      <w:tr>
        <w:trPr>
          <w:trHeight w:val="235"/>
        </w:trPr>
        <w:tc>
          <w:tcPr>
            <w:tcW w:w="2620" w:type="dxa"/>
            <w:vAlign w:val="bottom"/>
          </w:tcPr>
          <w:p>
            <w:pPr>
              <w:spacing w:after="0"/>
              <w:rPr>
                <w:sz w:val="20"/>
                <w:szCs w:val="20"/>
                <w:color w:val="auto"/>
              </w:rPr>
            </w:pPr>
            <w:r>
              <w:rPr>
                <w:rFonts w:ascii="Courier New" w:cs="Courier New" w:eastAsia="Courier New" w:hAnsi="Courier New"/>
                <w:sz w:val="18"/>
                <w:szCs w:val="18"/>
                <w:color w:val="auto"/>
                <w:w w:val="96"/>
              </w:rPr>
              <w:t>Products granted to it as</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long as</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this</w:t>
            </w:r>
          </w:p>
        </w:tc>
        <w:tc>
          <w:tcPr>
            <w:tcW w:w="230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8"/>
              </w:rPr>
              <w:t>Agreement is in force</w:t>
            </w:r>
          </w:p>
        </w:tc>
        <w:tc>
          <w:tcPr>
            <w:tcW w:w="144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and effect,</w:t>
            </w:r>
          </w:p>
        </w:tc>
      </w:tr>
    </w:tbl>
    <w:p>
      <w:pPr>
        <w:ind w:left="532" w:right="1779"/>
        <w:spacing w:after="0" w:line="273" w:lineRule="auto"/>
        <w:rPr>
          <w:sz w:val="20"/>
          <w:szCs w:val="20"/>
          <w:color w:val="auto"/>
        </w:rPr>
      </w:pPr>
      <w:r>
        <w:rPr>
          <w:rFonts w:ascii="Courier New" w:cs="Courier New" w:eastAsia="Courier New" w:hAnsi="Courier New"/>
          <w:sz w:val="18"/>
          <w:szCs w:val="18"/>
          <w:color w:val="auto"/>
        </w:rPr>
        <w:t>provided, however, as to the events which occurred before(effective date of this Amendment), Taisho shall pay the corresponding amount within thirty (30) days from (effective date of this Amendment):</w:t>
      </w:r>
    </w:p>
    <w:p>
      <w:pPr>
        <w:spacing w:after="0" w:line="81" w:lineRule="exact"/>
        <w:rPr>
          <w:sz w:val="20"/>
          <w:szCs w:val="20"/>
          <w:color w:val="auto"/>
        </w:rPr>
      </w:pPr>
    </w:p>
    <w:tbl>
      <w:tblPr>
        <w:tblLayout w:type="fixed"/>
        <w:tblInd w:w="532" w:type="dxa"/>
        <w:tblCellMar>
          <w:top w:w="0" w:type="dxa"/>
          <w:left w:w="0" w:type="dxa"/>
          <w:bottom w:w="0" w:type="dxa"/>
          <w:right w:w="0" w:type="dxa"/>
        </w:tblCellMar>
      </w:tblPr>
      <w:tr>
        <w:trPr>
          <w:trHeight w:val="204"/>
        </w:trPr>
        <w:tc>
          <w:tcPr>
            <w:tcW w:w="4740" w:type="dxa"/>
            <w:vAlign w:val="bottom"/>
            <w:gridSpan w:val="3"/>
          </w:tcPr>
          <w:p>
            <w:pPr>
              <w:spacing w:after="0"/>
              <w:rPr>
                <w:sz w:val="20"/>
                <w:szCs w:val="20"/>
                <w:color w:val="auto"/>
              </w:rPr>
            </w:pPr>
            <w:r>
              <w:rPr>
                <w:rFonts w:ascii="Courier New" w:cs="Courier New" w:eastAsia="Courier New" w:hAnsi="Courier New"/>
                <w:sz w:val="18"/>
                <w:szCs w:val="18"/>
                <w:color w:val="auto"/>
              </w:rPr>
              <w:t>. Completion of  *****  Phase I  *****</w:t>
            </w:r>
          </w:p>
        </w:tc>
        <w:tc>
          <w:tcPr>
            <w:tcW w:w="9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96"/>
        </w:trPr>
        <w:tc>
          <w:tcPr>
            <w:tcW w:w="20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740" w:type="dxa"/>
            <w:vAlign w:val="bottom"/>
          </w:tcPr>
          <w:p>
            <w:pPr>
              <w:ind w:left="120"/>
              <w:spacing w:after="0"/>
              <w:rPr>
                <w:sz w:val="20"/>
                <w:szCs w:val="20"/>
                <w:color w:val="auto"/>
              </w:rPr>
            </w:pPr>
            <w:r>
              <w:rPr>
                <w:rFonts w:ascii="Courier New" w:cs="Courier New" w:eastAsia="Courier New" w:hAnsi="Courier New"/>
                <w:sz w:val="18"/>
                <w:szCs w:val="18"/>
                <w:color w:val="auto"/>
              </w:rPr>
              <w:t>***** Phase II</w:t>
            </w:r>
          </w:p>
        </w:tc>
        <w:tc>
          <w:tcPr>
            <w:tcW w:w="2800" w:type="dxa"/>
            <w:vAlign w:val="bottom"/>
          </w:tcPr>
          <w:p>
            <w:pPr>
              <w:jc w:val="right"/>
              <w:ind w:right="213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gridSpan w:val="3"/>
          </w:tcPr>
          <w:p>
            <w:pPr>
              <w:spacing w:after="0"/>
              <w:rPr>
                <w:sz w:val="20"/>
                <w:szCs w:val="20"/>
                <w:color w:val="auto"/>
              </w:rPr>
            </w:pPr>
            <w:r>
              <w:rPr>
                <w:rFonts w:ascii="Courier New" w:cs="Courier New" w:eastAsia="Courier New" w:hAnsi="Courier New"/>
                <w:sz w:val="18"/>
                <w:szCs w:val="18"/>
                <w:color w:val="auto"/>
              </w:rPr>
              <w:t>.  ***** Pediatric Phase II *****</w:t>
            </w:r>
          </w:p>
        </w:tc>
        <w:tc>
          <w:tcPr>
            <w:tcW w:w="9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20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740" w:type="dxa"/>
            <w:vAlign w:val="bottom"/>
          </w:tcPr>
          <w:p>
            <w:pPr>
              <w:ind w:left="120"/>
              <w:spacing w:after="0"/>
              <w:rPr>
                <w:sz w:val="20"/>
                <w:szCs w:val="20"/>
                <w:color w:val="auto"/>
              </w:rPr>
            </w:pPr>
            <w:r>
              <w:rPr>
                <w:rFonts w:ascii="Courier New" w:cs="Courier New" w:eastAsia="Courier New" w:hAnsi="Courier New"/>
                <w:sz w:val="18"/>
                <w:szCs w:val="18"/>
                <w:color w:val="auto"/>
                <w:w w:val="98"/>
              </w:rPr>
              <w:t>***** Phase III</w:t>
            </w:r>
          </w:p>
        </w:tc>
        <w:tc>
          <w:tcPr>
            <w:tcW w:w="2800" w:type="dxa"/>
            <w:vAlign w:val="bottom"/>
          </w:tcPr>
          <w:p>
            <w:pPr>
              <w:jc w:val="right"/>
              <w:ind w:right="203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gridSpan w:val="3"/>
          </w:tcPr>
          <w:p>
            <w:pPr>
              <w:spacing w:after="0"/>
              <w:rPr>
                <w:sz w:val="20"/>
                <w:szCs w:val="20"/>
                <w:color w:val="auto"/>
              </w:rPr>
            </w:pPr>
            <w:r>
              <w:rPr>
                <w:rFonts w:ascii="Courier New" w:cs="Courier New" w:eastAsia="Courier New" w:hAnsi="Courier New"/>
                <w:sz w:val="18"/>
                <w:szCs w:val="18"/>
                <w:color w:val="auto"/>
              </w:rPr>
              <w:t>. Regulatory Filing of New Drug Application</w:t>
            </w:r>
          </w:p>
        </w:tc>
        <w:tc>
          <w:tcPr>
            <w:tcW w:w="90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2"/>
              </w:rPr>
              <w:t>*****</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gridSpan w:val="3"/>
          </w:tcPr>
          <w:p>
            <w:pPr>
              <w:spacing w:after="0"/>
              <w:rPr>
                <w:sz w:val="20"/>
                <w:szCs w:val="20"/>
                <w:color w:val="auto"/>
              </w:rPr>
            </w:pPr>
            <w:r>
              <w:rPr>
                <w:rFonts w:ascii="Courier New" w:cs="Courier New" w:eastAsia="Courier New" w:hAnsi="Courier New"/>
                <w:sz w:val="18"/>
                <w:szCs w:val="18"/>
                <w:color w:val="auto"/>
                <w:w w:val="97"/>
              </w:rPr>
              <w:t>. Governmental Approval for Commercialization</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bl>
    <w:p>
      <w:pPr>
        <w:spacing w:after="0" w:line="109" w:lineRule="exact"/>
        <w:rPr>
          <w:sz w:val="20"/>
          <w:szCs w:val="20"/>
          <w:color w:val="auto"/>
        </w:rPr>
      </w:pPr>
    </w:p>
    <w:p>
      <w:pPr>
        <w:ind w:left="532" w:right="3039"/>
        <w:spacing w:after="0" w:line="402" w:lineRule="auto"/>
        <w:rPr>
          <w:sz w:val="20"/>
          <w:szCs w:val="20"/>
          <w:color w:val="auto"/>
        </w:rPr>
      </w:pPr>
      <w:r>
        <w:rPr>
          <w:rFonts w:ascii="Courier New" w:cs="Courier New" w:eastAsia="Courier New" w:hAnsi="Courier New"/>
          <w:sz w:val="16"/>
          <w:szCs w:val="16"/>
          <w:color w:val="auto"/>
        </w:rPr>
        <w:t>Each Milestone Payment shall be made only once. ***** upon Regulatory Filing of New Drug Application in the United States.</w:t>
      </w:r>
    </w:p>
    <w:p>
      <w:pPr>
        <w:spacing w:after="0" w:line="1" w:lineRule="exact"/>
        <w:rPr>
          <w:sz w:val="20"/>
          <w:szCs w:val="20"/>
          <w:color w:val="auto"/>
        </w:rPr>
      </w:pPr>
    </w:p>
    <w:p>
      <w:pPr>
        <w:ind w:left="532"/>
        <w:spacing w:after="0"/>
        <w:tabs>
          <w:tab w:leader="none" w:pos="1032" w:val="left"/>
          <w:tab w:leader="none" w:pos="3552" w:val="left"/>
        </w:tabs>
        <w:rPr>
          <w:sz w:val="20"/>
          <w:szCs w:val="20"/>
          <w:color w:val="auto"/>
        </w:rPr>
      </w:pPr>
      <w:r>
        <w:rPr>
          <w:rFonts w:ascii="Courier New" w:cs="Courier New" w:eastAsia="Courier New" w:hAnsi="Courier New"/>
          <w:sz w:val="18"/>
          <w:szCs w:val="18"/>
          <w:color w:val="auto"/>
        </w:rPr>
        <w:t>5.3</w:t>
        <w:tab/>
        <w:t>Third Party Royalties.</w:t>
      </w:r>
      <w:r>
        <w:rPr>
          <w:sz w:val="20"/>
          <w:szCs w:val="20"/>
          <w:color w:val="auto"/>
        </w:rPr>
        <w:tab/>
      </w:r>
      <w:r>
        <w:rPr>
          <w:rFonts w:ascii="Courier New" w:cs="Courier New" w:eastAsia="Courier New" w:hAnsi="Courier New"/>
          <w:sz w:val="16"/>
          <w:szCs w:val="16"/>
          <w:color w:val="auto"/>
        </w:rPr>
        <w:t>***** shall bear any payments (license fees,</w:t>
      </w:r>
    </w:p>
    <w:p>
      <w:pPr>
        <w:spacing w:after="0" w:line="29" w:lineRule="exact"/>
        <w:rPr>
          <w:sz w:val="20"/>
          <w:szCs w:val="20"/>
          <w:color w:val="auto"/>
        </w:rPr>
      </w:pPr>
    </w:p>
    <w:p>
      <w:pPr>
        <w:ind w:left="1052"/>
        <w:spacing w:after="0"/>
        <w:rPr>
          <w:sz w:val="20"/>
          <w:szCs w:val="20"/>
          <w:color w:val="auto"/>
        </w:rPr>
      </w:pPr>
      <w:r>
        <w:rPr>
          <w:rFonts w:ascii="Courier New" w:cs="Courier New" w:eastAsia="Courier New" w:hAnsi="Courier New"/>
          <w:sz w:val="18"/>
          <w:szCs w:val="18"/>
          <w:color w:val="auto"/>
        </w:rPr>
        <w:t>---------------------</w:t>
      </w:r>
    </w:p>
    <w:p>
      <w:pPr>
        <w:ind w:left="532" w:right="1779"/>
        <w:spacing w:after="0" w:line="268" w:lineRule="auto"/>
        <w:rPr>
          <w:sz w:val="20"/>
          <w:szCs w:val="20"/>
          <w:color w:val="auto"/>
        </w:rPr>
      </w:pPr>
      <w:r>
        <w:rPr>
          <w:rFonts w:ascii="Courier New" w:cs="Courier New" w:eastAsia="Courier New" w:hAnsi="Courier New"/>
          <w:sz w:val="16"/>
          <w:szCs w:val="16"/>
          <w:color w:val="auto"/>
        </w:rPr>
        <w:t>milestone payments and royalties and so on) owed or to be owed to the Third Parties with respect to Existing Royalty Obligations in the Licensed Territory. In consideration of ***** Existing Royalty Obligations *****</w:t>
      </w:r>
    </w:p>
    <w:p>
      <w:pPr>
        <w:spacing w:after="0" w:line="1" w:lineRule="exact"/>
        <w:rPr>
          <w:sz w:val="20"/>
          <w:szCs w:val="20"/>
          <w:color w:val="auto"/>
        </w:rPr>
      </w:pPr>
    </w:p>
    <w:p>
      <w:pPr>
        <w:ind w:left="532" w:right="2099"/>
        <w:spacing w:after="0" w:line="268" w:lineRule="auto"/>
        <w:rPr>
          <w:sz w:val="20"/>
          <w:szCs w:val="20"/>
          <w:color w:val="auto"/>
        </w:rPr>
      </w:pPr>
      <w:r>
        <w:rPr>
          <w:rFonts w:ascii="Courier New" w:cs="Courier New" w:eastAsia="Courier New" w:hAnsi="Courier New"/>
          <w:sz w:val="16"/>
          <w:szCs w:val="16"/>
          <w:color w:val="auto"/>
        </w:rPr>
        <w:t>will pay to *****. ***** bear any other payments (license fees, milestone payments and royalties and so on) owed or to be owed to Third Parties other than their Affiliates with respect to patents or patent applications in the Licensed Territory, that are owned or controlled by such Third Parties and that would ***** on the basis ***** directed to</w:t>
      </w:r>
    </w:p>
    <w:p>
      <w:pPr>
        <w:spacing w:after="0" w:line="1" w:lineRule="exact"/>
        <w:rPr>
          <w:sz w:val="20"/>
          <w:szCs w:val="20"/>
          <w:color w:val="auto"/>
        </w:rPr>
      </w:pPr>
    </w:p>
    <w:p>
      <w:pPr>
        <w:ind w:left="532" w:right="2099"/>
        <w:spacing w:after="0" w:line="268" w:lineRule="auto"/>
        <w:rPr>
          <w:sz w:val="20"/>
          <w:szCs w:val="20"/>
          <w:color w:val="auto"/>
        </w:rPr>
      </w:pPr>
      <w:r>
        <w:rPr>
          <w:rFonts w:ascii="Courier New" w:cs="Courier New" w:eastAsia="Courier New" w:hAnsi="Courier New"/>
          <w:sz w:val="16"/>
          <w:szCs w:val="16"/>
          <w:color w:val="auto"/>
        </w:rPr>
        <w:t>*****. ***** shall bear any payments (license fees, milestone payments and royalties and so on) owed or to be owed to Third Parties other than</w:t>
      </w:r>
    </w:p>
    <w:p>
      <w:pPr>
        <w:ind w:left="532" w:right="2319" w:hanging="5"/>
        <w:spacing w:after="0" w:line="309" w:lineRule="auto"/>
        <w:tabs>
          <w:tab w:leader="none" w:pos="1164"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Affiliates with respect to such Third Parties' patents or patent applications</w:t>
      </w:r>
    </w:p>
    <w:p>
      <w:pPr>
        <w:spacing w:after="0" w:line="253"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ind w:left="4112" w:right="2939" w:hanging="4112"/>
        <w:spacing w:after="0" w:line="547" w:lineRule="auto"/>
        <w:tabs>
          <w:tab w:leader="none" w:pos="636"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treatment has been requested for omitted portions. 7</w:t>
      </w:r>
    </w:p>
    <w:p>
      <w:pPr>
        <w:sectPr>
          <w:pgSz w:w="11900" w:h="16838" w:orient="portrait"/>
          <w:cols w:equalWidth="0" w:num="1">
            <w:col w:w="10211"/>
          </w:cols>
          <w:pgMar w:left="248" w:top="691" w:right="1440" w:bottom="1440" w:gutter="0" w:footer="0" w:header="0"/>
        </w:sectPr>
      </w:pPr>
    </w:p>
    <w:bookmarkStart w:id="16" w:name="page17"/>
    <w:bookmarkEnd w:id="16"/>
    <w:p>
      <w:pPr>
        <w:ind w:left="540"/>
        <w:spacing w:after="0"/>
        <w:rPr>
          <w:sz w:val="20"/>
          <w:szCs w:val="20"/>
          <w:color w:val="auto"/>
        </w:rPr>
      </w:pPr>
      <w:r>
        <w:rPr>
          <w:rFonts w:ascii="Courier New" w:cs="Courier New" w:eastAsia="Courier New" w:hAnsi="Courier New"/>
          <w:sz w:val="18"/>
          <w:szCs w:val="18"/>
          <w:color w:val="auto"/>
        </w:rPr>
        <w:t>in the Licensed Territory other than those described in above two cases.</w:t>
      </w:r>
    </w:p>
    <w:p>
      <w:pPr>
        <w:spacing w:after="0" w:line="201" w:lineRule="exact"/>
        <w:rPr>
          <w:sz w:val="20"/>
          <w:szCs w:val="20"/>
          <w:color w:val="auto"/>
        </w:rPr>
      </w:pPr>
    </w:p>
    <w:p>
      <w:pPr>
        <w:ind w:left="540"/>
        <w:spacing w:after="0"/>
        <w:tabs>
          <w:tab w:leader="none" w:pos="1140" w:val="left"/>
          <w:tab w:leader="none" w:pos="2940" w:val="left"/>
        </w:tabs>
        <w:rPr>
          <w:sz w:val="20"/>
          <w:szCs w:val="20"/>
          <w:color w:val="auto"/>
        </w:rPr>
      </w:pPr>
      <w:r>
        <w:rPr>
          <w:rFonts w:ascii="Courier New" w:cs="Courier New" w:eastAsia="Courier New" w:hAnsi="Courier New"/>
          <w:sz w:val="18"/>
          <w:szCs w:val="18"/>
          <w:color w:val="auto"/>
        </w:rPr>
        <w:t>5.4</w:t>
        <w:tab/>
        <w:t>Sublicense Fee.</w:t>
      </w:r>
      <w:r>
        <w:rPr>
          <w:sz w:val="20"/>
          <w:szCs w:val="20"/>
          <w:color w:val="auto"/>
        </w:rPr>
        <w:tab/>
      </w:r>
      <w:r>
        <w:rPr>
          <w:rFonts w:ascii="Courier New" w:cs="Courier New" w:eastAsia="Courier New" w:hAnsi="Courier New"/>
          <w:sz w:val="16"/>
          <w:szCs w:val="16"/>
          <w:color w:val="auto"/>
        </w:rPr>
        <w:t>Within thirty (30) days of the date upon which</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ind w:left="540" w:right="1879" w:hanging="5"/>
        <w:spacing w:after="0" w:line="252" w:lineRule="auto"/>
        <w:tabs>
          <w:tab w:leader="none" w:pos="1277"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its Affiliates shall grant a sublicense to the ***** to any Third Party other than ***** shall pay ***** per each of such Third Parties as executing parties of sublicense agreement with ***** In the event a sublicensee of ***** (other ***** ) shall further sublicense the Licensed Technology ***** will be payable for such further sublicense unless under the circumstances ***** that would have been more *****.</w:t>
      </w:r>
    </w:p>
    <w:p>
      <w:pPr>
        <w:spacing w:after="0" w:line="1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5.5 PROFIT SHARING OPTION FOR REST OF WORLD</w:t>
      </w:r>
    </w:p>
    <w:p>
      <w:pPr>
        <w:spacing w:after="0" w:line="201" w:lineRule="exact"/>
        <w:rPr>
          <w:sz w:val="20"/>
          <w:szCs w:val="20"/>
          <w:color w:val="auto"/>
        </w:rPr>
      </w:pPr>
    </w:p>
    <w:p>
      <w:pPr>
        <w:ind w:left="540"/>
        <w:spacing w:after="0"/>
        <w:tabs>
          <w:tab w:leader="none" w:pos="1140" w:val="left"/>
          <w:tab w:leader="none" w:pos="3680" w:val="left"/>
          <w:tab w:leader="none" w:pos="5680" w:val="left"/>
          <w:tab w:leader="none" w:pos="7580" w:val="left"/>
        </w:tabs>
        <w:rPr>
          <w:sz w:val="20"/>
          <w:szCs w:val="20"/>
          <w:color w:val="auto"/>
        </w:rPr>
      </w:pPr>
      <w:r>
        <w:rPr>
          <w:rFonts w:ascii="Courier New" w:cs="Courier New" w:eastAsia="Courier New" w:hAnsi="Courier New"/>
          <w:sz w:val="18"/>
          <w:szCs w:val="18"/>
          <w:color w:val="auto"/>
        </w:rPr>
        <w:t>5.5A</w:t>
        <w:tab/>
        <w:t>Profit Sharing Option.</w:t>
        <w:tab/>
        <w:t>At any time after</w:t>
        <w:tab/>
        <w:t>***** and before</w:t>
      </w:r>
      <w:r>
        <w:rPr>
          <w:sz w:val="20"/>
          <w:szCs w:val="20"/>
          <w:color w:val="auto"/>
        </w:rPr>
        <w:tab/>
      </w:r>
      <w:r>
        <w:rPr>
          <w:rFonts w:ascii="Courier New" w:cs="Courier New" w:eastAsia="Courier New" w:hAnsi="Courier New"/>
          <w:sz w:val="16"/>
          <w:szCs w:val="16"/>
          <w:color w:val="auto"/>
        </w:rPr>
        <w:t>*****</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ind w:left="540" w:right="1779"/>
        <w:spacing w:after="0" w:line="290" w:lineRule="auto"/>
        <w:rPr>
          <w:sz w:val="20"/>
          <w:szCs w:val="20"/>
          <w:color w:val="auto"/>
        </w:rPr>
      </w:pPr>
      <w:r>
        <w:rPr>
          <w:rFonts w:ascii="Courier New" w:cs="Courier New" w:eastAsia="Courier New" w:hAnsi="Courier New"/>
          <w:sz w:val="16"/>
          <w:szCs w:val="16"/>
          <w:color w:val="auto"/>
        </w:rPr>
        <w:t>shall have the option to elect to change the agreement for Rest of World from a royalty bearing arrangement as provided in Section 5.2, to a profit sharing structure as set forth in this Section 5.5 (the "Option"). At the time ***** to exercise the Option the Parties will ***** Development and Commercialization of Products in the Rest of World. ***** completed prior to *****, provided, however, that such ***** shall be *****.</w:t>
      </w:r>
    </w:p>
    <w:p>
      <w:pPr>
        <w:spacing w:after="0" w:line="72"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5.5B</w:t>
      </w:r>
      <w:r>
        <w:rPr>
          <w:sz w:val="20"/>
          <w:szCs w:val="20"/>
          <w:color w:val="auto"/>
        </w:rPr>
        <w:tab/>
      </w:r>
      <w:r>
        <w:rPr>
          <w:rFonts w:ascii="Courier New" w:cs="Courier New" w:eastAsia="Courier New" w:hAnsi="Courier New"/>
          <w:sz w:val="16"/>
          <w:szCs w:val="16"/>
          <w:color w:val="auto"/>
        </w:rPr>
        <w:t>Milestone Payments.</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540" w:right="1779"/>
        <w:spacing w:after="0" w:line="257" w:lineRule="auto"/>
        <w:rPr>
          <w:sz w:val="20"/>
          <w:szCs w:val="20"/>
          <w:color w:val="auto"/>
        </w:rPr>
      </w:pPr>
      <w:r>
        <w:rPr>
          <w:rFonts w:ascii="Courier New" w:cs="Courier New" w:eastAsia="Courier New" w:hAnsi="Courier New"/>
          <w:sz w:val="18"/>
          <w:szCs w:val="18"/>
          <w:color w:val="auto"/>
        </w:rPr>
        <w:t>In the event ***** on or before the date of the first occurrence of the events ***** to the events ***** Section 5.2B will not apply irrespective of its provision and the following provision will apply instead. In the event ***** after the date of the first occurrence of the events ***** to the events stipulated *****, Section 5.2B irrespective of its provision shall no longer apply and the following provision will apply instead.</w:t>
      </w:r>
    </w:p>
    <w:p>
      <w:pPr>
        <w:spacing w:after="0" w:line="311" w:lineRule="exact"/>
        <w:rPr>
          <w:sz w:val="20"/>
          <w:szCs w:val="20"/>
          <w:color w:val="auto"/>
        </w:rPr>
      </w:pPr>
    </w:p>
    <w:p>
      <w:pPr>
        <w:ind w:left="540" w:right="1779"/>
        <w:spacing w:after="0" w:line="253" w:lineRule="auto"/>
        <w:rPr>
          <w:sz w:val="20"/>
          <w:szCs w:val="20"/>
          <w:color w:val="auto"/>
        </w:rPr>
      </w:pPr>
      <w:r>
        <w:rPr>
          <w:rFonts w:ascii="Courier New" w:cs="Courier New" w:eastAsia="Courier New" w:hAnsi="Courier New"/>
          <w:sz w:val="18"/>
          <w:szCs w:val="18"/>
          <w:color w:val="auto"/>
        </w:rPr>
        <w:t>At the first occurrence of the events as to the Product first applicable to the events set forth below, within thirty (30) days after Taisho becomes aware of it, Taisho shall pay the corresponding amounts as the Milestone Payments for the rights in the Rest of World to Products granted to it as long as this Agreement is in force and effect, provided, however, as to the events which occurred before (effective date of this Amendment), Taisho shall pay the corresponding amount within thirty (30) days from (effective date of this Amendment):</w:t>
      </w:r>
    </w:p>
    <w:p>
      <w:pPr>
        <w:spacing w:after="0" w:line="104" w:lineRule="exact"/>
        <w:rPr>
          <w:sz w:val="20"/>
          <w:szCs w:val="20"/>
          <w:color w:val="auto"/>
        </w:rPr>
      </w:pPr>
    </w:p>
    <w:tbl>
      <w:tblPr>
        <w:tblLayout w:type="fixed"/>
        <w:tblInd w:w="540" w:type="dxa"/>
        <w:tblCellMar>
          <w:top w:w="0" w:type="dxa"/>
          <w:left w:w="0" w:type="dxa"/>
          <w:bottom w:w="0" w:type="dxa"/>
          <w:right w:w="0" w:type="dxa"/>
        </w:tblCellMar>
      </w:tblPr>
      <w:tr>
        <w:trPr>
          <w:trHeight w:val="296"/>
        </w:trPr>
        <w:tc>
          <w:tcPr>
            <w:tcW w:w="5000" w:type="dxa"/>
            <w:vAlign w:val="bottom"/>
            <w:gridSpan w:val="4"/>
          </w:tcPr>
          <w:p>
            <w:pPr>
              <w:spacing w:after="0"/>
              <w:rPr>
                <w:sz w:val="20"/>
                <w:szCs w:val="20"/>
                <w:color w:val="auto"/>
              </w:rPr>
            </w:pPr>
            <w:r>
              <w:rPr>
                <w:rFonts w:ascii="Courier New" w:cs="Courier New" w:eastAsia="Courier New" w:hAnsi="Courier New"/>
                <w:sz w:val="18"/>
                <w:szCs w:val="18"/>
                <w:color w:val="auto"/>
              </w:rPr>
              <w:t>. Completion of  ***** Phase I  *****</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20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 Phase II</w:t>
            </w:r>
          </w:p>
        </w:tc>
        <w:tc>
          <w:tcPr>
            <w:tcW w:w="306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20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700" w:type="dxa"/>
            <w:vAlign w:val="bottom"/>
          </w:tcPr>
          <w:p>
            <w:pPr>
              <w:ind w:left="120"/>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Pediatric</w:t>
            </w:r>
          </w:p>
        </w:tc>
        <w:tc>
          <w:tcPr>
            <w:tcW w:w="3060" w:type="dxa"/>
            <w:vAlign w:val="bottom"/>
          </w:tcPr>
          <w:p>
            <w:pPr>
              <w:ind w:left="60"/>
              <w:spacing w:after="0"/>
              <w:rPr>
                <w:sz w:val="20"/>
                <w:szCs w:val="20"/>
                <w:color w:val="auto"/>
              </w:rPr>
            </w:pPr>
            <w:r>
              <w:rPr>
                <w:rFonts w:ascii="Courier New" w:cs="Courier New" w:eastAsia="Courier New" w:hAnsi="Courier New"/>
                <w:sz w:val="18"/>
                <w:szCs w:val="18"/>
                <w:color w:val="auto"/>
              </w:rPr>
              <w:t>Phase II *****</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20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700" w:type="dxa"/>
            <w:vAlign w:val="bottom"/>
          </w:tcPr>
          <w:p>
            <w:pPr>
              <w:ind w:left="120"/>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Phase III</w:t>
            </w:r>
          </w:p>
        </w:tc>
        <w:tc>
          <w:tcPr>
            <w:tcW w:w="306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0"/>
          <w:szCs w:val="20"/>
          <w:color w:val="auto"/>
        </w:rPr>
      </w:pPr>
    </w:p>
    <w:p>
      <w:pPr>
        <w:ind w:left="4120" w:right="2939" w:hanging="4112"/>
        <w:spacing w:after="0" w:line="547" w:lineRule="auto"/>
        <w:tabs>
          <w:tab w:leader="none" w:pos="644"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treatment has been requested for omitted portions. 8</w:t>
      </w:r>
    </w:p>
    <w:p>
      <w:pPr>
        <w:sectPr>
          <w:pgSz w:w="11900" w:h="16838" w:orient="portrait"/>
          <w:cols w:equalWidth="0" w:num="1">
            <w:col w:w="10219"/>
          </w:cols>
          <w:pgMar w:left="240" w:top="691" w:right="1440" w:bottom="1440" w:gutter="0" w:footer="0" w:header="0"/>
        </w:sectPr>
      </w:pPr>
    </w:p>
    <w:bookmarkStart w:id="17" w:name="page18"/>
    <w:bookmarkEnd w:id="17"/>
    <w:p>
      <w:pPr>
        <w:ind w:left="532"/>
        <w:spacing w:after="0"/>
        <w:tabs>
          <w:tab w:leader="none" w:pos="832" w:val="left"/>
        </w:tabs>
        <w:rPr>
          <w:sz w:val="20"/>
          <w:szCs w:val="20"/>
          <w:color w:val="auto"/>
        </w:rPr>
      </w:pPr>
      <w:r>
        <w:rPr>
          <w:rFonts w:ascii="Courier New" w:cs="Courier New" w:eastAsia="Courier New" w:hAnsi="Courier New"/>
          <w:sz w:val="16"/>
          <w:szCs w:val="16"/>
          <w:color w:val="auto"/>
        </w:rPr>
        <w:t>.</w:t>
        <w:tab/>
        <w:t>Regulatory Filing of New Drug Application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ectPr>
          <w:pgSz w:w="11900" w:h="16838" w:orient="portrait"/>
          <w:cols w:equalWidth="0" w:num="3">
            <w:col w:w="5152" w:space="220"/>
            <w:col w:w="540" w:space="720"/>
            <w:col w:w="3579"/>
          </w:cols>
          <w:pgMar w:left="248" w:top="691" w:right="1440" w:bottom="1440" w:gutter="0" w:footer="0" w:header="0"/>
        </w:sectPr>
      </w:pPr>
    </w:p>
    <w:p>
      <w:pPr>
        <w:spacing w:after="0" w:line="24" w:lineRule="exact"/>
        <w:rPr>
          <w:sz w:val="20"/>
          <w:szCs w:val="20"/>
          <w:color w:val="auto"/>
        </w:rPr>
      </w:pPr>
    </w:p>
    <w:p>
      <w:pPr>
        <w:ind w:left="532"/>
        <w:spacing w:after="0"/>
        <w:tabs>
          <w:tab w:leader="none" w:pos="832" w:val="left"/>
        </w:tabs>
        <w:rPr>
          <w:sz w:val="20"/>
          <w:szCs w:val="20"/>
          <w:color w:val="auto"/>
        </w:rPr>
      </w:pPr>
      <w:r>
        <w:rPr>
          <w:rFonts w:ascii="Courier New" w:cs="Courier New" w:eastAsia="Courier New" w:hAnsi="Courier New"/>
          <w:sz w:val="16"/>
          <w:szCs w:val="16"/>
          <w:color w:val="auto"/>
        </w:rPr>
        <w:t>.</w:t>
        <w:tab/>
        <w:t>Governmental Approval for Commercialization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ectPr>
          <w:pgSz w:w="11900" w:h="16838" w:orient="portrait"/>
          <w:cols w:equalWidth="0" w:num="3">
            <w:col w:w="5372" w:space="220"/>
            <w:col w:w="520" w:space="520"/>
            <w:col w:w="3579"/>
          </w:cols>
          <w:pgMar w:left="248" w:top="691" w:right="1440" w:bottom="1440" w:gutter="0" w:footer="0" w:header="0"/>
          <w:type w:val="continuous"/>
        </w:sectPr>
      </w:pPr>
    </w:p>
    <w:p>
      <w:pPr>
        <w:spacing w:after="0" w:line="24" w:lineRule="exact"/>
        <w:rPr>
          <w:sz w:val="20"/>
          <w:szCs w:val="20"/>
          <w:color w:val="auto"/>
        </w:rPr>
      </w:pPr>
    </w:p>
    <w:p>
      <w:pPr>
        <w:ind w:left="532" w:right="1779"/>
        <w:spacing w:after="0" w:line="347" w:lineRule="auto"/>
        <w:rPr>
          <w:sz w:val="20"/>
          <w:szCs w:val="20"/>
          <w:color w:val="auto"/>
        </w:rPr>
      </w:pPr>
      <w:r>
        <w:rPr>
          <w:rFonts w:ascii="Courier New" w:cs="Courier New" w:eastAsia="Courier New" w:hAnsi="Courier New"/>
          <w:sz w:val="18"/>
          <w:szCs w:val="18"/>
          <w:color w:val="auto"/>
        </w:rPr>
        <w:t>Each Milestone Payment shall be made only once ***** upon Regulatory Filing of New Drug Application in the United States.</w:t>
      </w:r>
    </w:p>
    <w:p>
      <w:pPr>
        <w:spacing w:after="0" w:line="18" w:lineRule="exact"/>
        <w:rPr>
          <w:sz w:val="20"/>
          <w:szCs w:val="20"/>
          <w:color w:val="auto"/>
        </w:rPr>
      </w:pPr>
    </w:p>
    <w:p>
      <w:pPr>
        <w:ind w:left="532" w:right="1779"/>
        <w:spacing w:after="0" w:line="298" w:lineRule="auto"/>
        <w:rPr>
          <w:sz w:val="20"/>
          <w:szCs w:val="20"/>
          <w:color w:val="auto"/>
        </w:rPr>
      </w:pPr>
      <w:r>
        <w:rPr>
          <w:rFonts w:ascii="Courier New" w:cs="Courier New" w:eastAsia="Courier New" w:hAnsi="Courier New"/>
          <w:sz w:val="16"/>
          <w:szCs w:val="16"/>
          <w:color w:val="auto"/>
        </w:rPr>
        <w:t>If any Milestone Payments ***** in any country in the world have been made pursuant to Section 5.2B prior to the exercise of the Option, the amount of each subsequent Milestone Payment under this Section 5.5B for the rights in the Rest of World shall ***** so that the total Milestone Payments under this Section 5.5B for the rights in the Rest of World *****. For clarity, the license fee of ***** payable under Section 5.2A *****.</w:t>
      </w:r>
    </w:p>
    <w:p>
      <w:pPr>
        <w:spacing w:after="0" w:line="66" w:lineRule="exact"/>
        <w:rPr>
          <w:sz w:val="20"/>
          <w:szCs w:val="20"/>
          <w:color w:val="auto"/>
        </w:rPr>
      </w:pPr>
    </w:p>
    <w:tbl>
      <w:tblPr>
        <w:tblLayout w:type="fixed"/>
        <w:tblInd w:w="532" w:type="dxa"/>
        <w:tblCellMar>
          <w:top w:w="0" w:type="dxa"/>
          <w:left w:w="0" w:type="dxa"/>
          <w:bottom w:w="0" w:type="dxa"/>
          <w:right w:w="0" w:type="dxa"/>
        </w:tblCellMar>
      </w:tblPr>
      <w:tr>
        <w:trPr>
          <w:trHeight w:val="204"/>
        </w:trPr>
        <w:tc>
          <w:tcPr>
            <w:tcW w:w="520" w:type="dxa"/>
            <w:vAlign w:val="bottom"/>
          </w:tcPr>
          <w:p>
            <w:pPr>
              <w:spacing w:after="0"/>
              <w:rPr>
                <w:sz w:val="20"/>
                <w:szCs w:val="20"/>
                <w:color w:val="auto"/>
              </w:rPr>
            </w:pPr>
            <w:r>
              <w:rPr>
                <w:rFonts w:ascii="Courier New" w:cs="Courier New" w:eastAsia="Courier New" w:hAnsi="Courier New"/>
                <w:sz w:val="18"/>
                <w:szCs w:val="18"/>
                <w:color w:val="auto"/>
              </w:rPr>
              <w:t>5.5C</w:t>
            </w:r>
          </w:p>
        </w:tc>
        <w:tc>
          <w:tcPr>
            <w:tcW w:w="1220" w:type="dxa"/>
            <w:vAlign w:val="bottom"/>
          </w:tcPr>
          <w:p>
            <w:pPr>
              <w:ind w:left="100"/>
              <w:spacing w:after="0"/>
              <w:rPr>
                <w:sz w:val="20"/>
                <w:szCs w:val="20"/>
                <w:color w:val="auto"/>
              </w:rPr>
            </w:pPr>
            <w:r>
              <w:rPr>
                <w:rFonts w:ascii="Courier New" w:cs="Courier New" w:eastAsia="Courier New" w:hAnsi="Courier New"/>
                <w:sz w:val="18"/>
                <w:szCs w:val="18"/>
                <w:color w:val="auto"/>
              </w:rPr>
              <w:t>Royalties.</w:t>
            </w:r>
          </w:p>
        </w:tc>
        <w:tc>
          <w:tcPr>
            <w:tcW w:w="4260" w:type="dxa"/>
            <w:vAlign w:val="bottom"/>
          </w:tcPr>
          <w:p>
            <w:pPr>
              <w:ind w:left="160"/>
              <w:spacing w:after="0"/>
              <w:rPr>
                <w:sz w:val="20"/>
                <w:szCs w:val="20"/>
                <w:color w:val="auto"/>
              </w:rPr>
            </w:pPr>
            <w:r>
              <w:rPr>
                <w:rFonts w:ascii="Courier New" w:cs="Courier New" w:eastAsia="Courier New" w:hAnsi="Courier New"/>
                <w:sz w:val="18"/>
                <w:szCs w:val="18"/>
                <w:color w:val="auto"/>
              </w:rPr>
              <w:t>Neurocrine shall be paid a royalty of</w:t>
            </w:r>
          </w:p>
        </w:tc>
        <w:tc>
          <w:tcPr>
            <w:tcW w:w="1900" w:type="dxa"/>
            <w:vAlign w:val="bottom"/>
          </w:tcPr>
          <w:p>
            <w:pPr>
              <w:spacing w:after="0"/>
              <w:rPr>
                <w:sz w:val="20"/>
                <w:szCs w:val="20"/>
                <w:color w:val="auto"/>
              </w:rPr>
            </w:pPr>
            <w:r>
              <w:rPr>
                <w:rFonts w:ascii="Courier New" w:cs="Courier New" w:eastAsia="Courier New" w:hAnsi="Courier New"/>
                <w:sz w:val="18"/>
                <w:szCs w:val="18"/>
                <w:color w:val="auto"/>
                <w:w w:val="96"/>
              </w:rPr>
              <w:t>***** of Net Sales</w:t>
            </w: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1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4260" w:type="dxa"/>
            <w:vAlign w:val="bottom"/>
          </w:tcPr>
          <w:p>
            <w:pPr>
              <w:spacing w:after="0"/>
              <w:rPr>
                <w:sz w:val="17"/>
                <w:szCs w:val="17"/>
                <w:color w:val="auto"/>
              </w:rPr>
            </w:pPr>
          </w:p>
        </w:tc>
        <w:tc>
          <w:tcPr>
            <w:tcW w:w="19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Net Sales of</w:t>
            </w:r>
          </w:p>
        </w:tc>
        <w:tc>
          <w:tcPr>
            <w:tcW w:w="0" w:type="dxa"/>
            <w:vAlign w:val="bottom"/>
          </w:tcPr>
          <w:p>
            <w:pPr>
              <w:spacing w:after="0"/>
              <w:rPr>
                <w:sz w:val="1"/>
                <w:szCs w:val="1"/>
                <w:color w:val="auto"/>
              </w:rPr>
            </w:pPr>
          </w:p>
        </w:tc>
      </w:tr>
      <w:tr>
        <w:trPr>
          <w:trHeight w:val="203"/>
        </w:trPr>
        <w:tc>
          <w:tcPr>
            <w:tcW w:w="60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of Products in the United States and a royalty  *****  of</w:t>
            </w:r>
          </w:p>
        </w:tc>
        <w:tc>
          <w:tcPr>
            <w:tcW w:w="1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Products in the Rest of World excluding the United States</w:t>
            </w: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until the time</w:t>
            </w:r>
          </w:p>
        </w:tc>
        <w:tc>
          <w:tcPr>
            <w:tcW w:w="0" w:type="dxa"/>
            <w:vAlign w:val="bottom"/>
          </w:tcPr>
          <w:p>
            <w:pPr>
              <w:spacing w:after="0"/>
              <w:rPr>
                <w:sz w:val="1"/>
                <w:szCs w:val="1"/>
                <w:color w:val="auto"/>
              </w:rPr>
            </w:pPr>
          </w:p>
        </w:tc>
      </w:tr>
      <w:tr>
        <w:trPr>
          <w:trHeight w:val="296"/>
        </w:trPr>
        <w:tc>
          <w:tcPr>
            <w:tcW w:w="1740" w:type="dxa"/>
            <w:vAlign w:val="bottom"/>
            <w:gridSpan w:val="2"/>
          </w:tcPr>
          <w:p>
            <w:pPr>
              <w:spacing w:after="0"/>
              <w:rPr>
                <w:sz w:val="20"/>
                <w:szCs w:val="20"/>
                <w:color w:val="auto"/>
              </w:rPr>
            </w:pPr>
            <w:r>
              <w:rPr>
                <w:rFonts w:ascii="Courier New" w:cs="Courier New" w:eastAsia="Courier New" w:hAnsi="Courier New"/>
                <w:sz w:val="18"/>
                <w:szCs w:val="18"/>
                <w:color w:val="auto"/>
                <w:w w:val="99"/>
              </w:rPr>
              <w:t>set forth in 6.4</w:t>
            </w:r>
          </w:p>
        </w:tc>
        <w:tc>
          <w:tcPr>
            <w:tcW w:w="4260" w:type="dxa"/>
            <w:vAlign w:val="bottom"/>
          </w:tcPr>
          <w:p>
            <w:pPr>
              <w:ind w:left="40"/>
              <w:spacing w:after="0"/>
              <w:rPr>
                <w:sz w:val="20"/>
                <w:szCs w:val="20"/>
                <w:color w:val="auto"/>
              </w:rPr>
            </w:pPr>
            <w:r>
              <w:rPr>
                <w:rFonts w:ascii="Courier New" w:cs="Courier New" w:eastAsia="Courier New" w:hAnsi="Courier New"/>
                <w:sz w:val="18"/>
                <w:szCs w:val="18"/>
                <w:color w:val="auto"/>
              </w:rPr>
              <w:t>(c).</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20" w:type="dxa"/>
            <w:vAlign w:val="bottom"/>
          </w:tcPr>
          <w:p>
            <w:pPr>
              <w:spacing w:after="0"/>
              <w:rPr>
                <w:sz w:val="20"/>
                <w:szCs w:val="20"/>
                <w:color w:val="auto"/>
              </w:rPr>
            </w:pPr>
            <w:r>
              <w:rPr>
                <w:rFonts w:ascii="Courier New" w:cs="Courier New" w:eastAsia="Courier New" w:hAnsi="Courier New"/>
                <w:sz w:val="18"/>
                <w:szCs w:val="18"/>
                <w:color w:val="auto"/>
              </w:rPr>
              <w:t>5.5D</w:t>
            </w:r>
          </w:p>
        </w:tc>
        <w:tc>
          <w:tcPr>
            <w:tcW w:w="548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9"/>
              </w:rPr>
              <w:t>Profit Sharing.  Taisho and Neurocrine will  *****</w:t>
            </w:r>
          </w:p>
        </w:tc>
        <w:tc>
          <w:tcPr>
            <w:tcW w:w="1900" w:type="dxa"/>
            <w:vAlign w:val="bottom"/>
          </w:tcPr>
          <w:p>
            <w:pPr>
              <w:ind w:left="100"/>
              <w:spacing w:after="0"/>
              <w:rPr>
                <w:sz w:val="20"/>
                <w:szCs w:val="20"/>
                <w:color w:val="auto"/>
              </w:rPr>
            </w:pPr>
            <w:r>
              <w:rPr>
                <w:rFonts w:ascii="Courier New" w:cs="Courier New" w:eastAsia="Courier New" w:hAnsi="Courier New"/>
                <w:sz w:val="18"/>
                <w:szCs w:val="18"/>
                <w:color w:val="auto"/>
              </w:rPr>
              <w:t>the net profits</w:t>
            </w:r>
          </w:p>
        </w:tc>
        <w:tc>
          <w:tcPr>
            <w:tcW w:w="0" w:type="dxa"/>
            <w:vAlign w:val="bottom"/>
          </w:tcPr>
          <w:p>
            <w:pPr>
              <w:spacing w:after="0"/>
              <w:rPr>
                <w:sz w:val="1"/>
                <w:szCs w:val="1"/>
                <w:color w:val="auto"/>
              </w:rPr>
            </w:pPr>
          </w:p>
        </w:tc>
      </w:tr>
      <w:tr>
        <w:trPr>
          <w:trHeight w:val="235"/>
        </w:trPr>
        <w:tc>
          <w:tcPr>
            <w:tcW w:w="520" w:type="dxa"/>
            <w:vAlign w:val="bottom"/>
          </w:tcPr>
          <w:p>
            <w:pPr>
              <w:spacing w:after="0"/>
              <w:rPr>
                <w:sz w:val="20"/>
                <w:szCs w:val="20"/>
                <w:color w:val="auto"/>
              </w:rPr>
            </w:pPr>
          </w:p>
        </w:tc>
        <w:tc>
          <w:tcPr>
            <w:tcW w:w="54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w:t>
            </w: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both"/>
        <w:ind w:left="532" w:right="1999"/>
        <w:spacing w:after="0" w:line="268" w:lineRule="auto"/>
        <w:rPr>
          <w:sz w:val="20"/>
          <w:szCs w:val="20"/>
          <w:color w:val="auto"/>
        </w:rPr>
      </w:pPr>
      <w:r>
        <w:rPr>
          <w:rFonts w:ascii="Courier New" w:cs="Courier New" w:eastAsia="Courier New" w:hAnsi="Courier New"/>
          <w:sz w:val="16"/>
          <w:szCs w:val="16"/>
          <w:color w:val="auto"/>
        </w:rPr>
        <w:t>from sales of Products in the Rest of World. The net profits will be calculated by subtracting ***** to calculate Net Sales, the royalties due</w:t>
      </w:r>
    </w:p>
    <w:p>
      <w:pPr>
        <w:ind w:left="532" w:right="1879" w:hanging="5"/>
        <w:spacing w:after="0" w:line="256" w:lineRule="auto"/>
        <w:tabs>
          <w:tab w:leader="none" w:pos="1164"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set forth in ***** Net Sales in the United States as Neurocrine's Existing Royalty Obligation ***** from Net Sales of Products *****. For clarity, any payments ***** other than ***** of Net Sales in the United States ***** Neurocrine's Existing Royalty Obligation ***** shall not be subtracted from Net Sales of Products in the Rest of World *****.</w:t>
      </w:r>
    </w:p>
    <w:p>
      <w:pPr>
        <w:spacing w:after="0" w:line="96" w:lineRule="exact"/>
        <w:rPr>
          <w:sz w:val="20"/>
          <w:szCs w:val="20"/>
          <w:color w:val="auto"/>
        </w:rPr>
      </w:pPr>
    </w:p>
    <w:p>
      <w:pPr>
        <w:ind w:left="532" w:right="2199"/>
        <w:spacing w:after="0" w:line="282" w:lineRule="auto"/>
        <w:rPr>
          <w:sz w:val="20"/>
          <w:szCs w:val="20"/>
          <w:color w:val="auto"/>
        </w:rPr>
      </w:pPr>
      <w:r>
        <w:rPr>
          <w:rFonts w:ascii="Courier New" w:cs="Courier New" w:eastAsia="Courier New" w:hAnsi="Courier New"/>
          <w:sz w:val="16"/>
          <w:szCs w:val="16"/>
          <w:color w:val="auto"/>
        </w:rPr>
        <w:t>5.5E Third Party Royalties. In the event ***** the Option before any *****, Section 5.3 will not apply irrespective of its provision and the following provision will apply instead. In the event ***** on or after</w:t>
      </w:r>
    </w:p>
    <w:p>
      <w:pPr>
        <w:spacing w:after="0" w:line="1" w:lineRule="exact"/>
        <w:rPr>
          <w:sz w:val="20"/>
          <w:szCs w:val="20"/>
          <w:color w:val="auto"/>
        </w:rPr>
      </w:pPr>
    </w:p>
    <w:p>
      <w:pPr>
        <w:ind w:left="532" w:right="1779"/>
        <w:spacing w:after="0" w:line="309" w:lineRule="auto"/>
        <w:rPr>
          <w:sz w:val="20"/>
          <w:szCs w:val="20"/>
          <w:color w:val="auto"/>
        </w:rPr>
      </w:pPr>
      <w:r>
        <w:rPr>
          <w:rFonts w:ascii="Courier New" w:cs="Courier New" w:eastAsia="Courier New" w:hAnsi="Courier New"/>
          <w:sz w:val="18"/>
          <w:szCs w:val="18"/>
          <w:color w:val="auto"/>
        </w:rPr>
        <w:t>*****, Section 5.3 irrespective of its provisions shall no longer apply and the following provision will apply instead.</w:t>
      </w:r>
    </w:p>
    <w:p>
      <w:pPr>
        <w:spacing w:after="0" w:line="51" w:lineRule="exact"/>
        <w:rPr>
          <w:sz w:val="20"/>
          <w:szCs w:val="20"/>
          <w:color w:val="auto"/>
        </w:rPr>
      </w:pPr>
    </w:p>
    <w:p>
      <w:pPr>
        <w:ind w:left="1152" w:hanging="625"/>
        <w:spacing w:after="0"/>
        <w:tabs>
          <w:tab w:leader="none" w:pos="1152"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shall bear any payments (license fees, milestone payments and</w:t>
      </w:r>
    </w:p>
    <w:p>
      <w:pPr>
        <w:spacing w:after="0" w:line="30" w:lineRule="exact"/>
        <w:rPr>
          <w:rFonts w:ascii="Courier New" w:cs="Courier New" w:eastAsia="Courier New" w:hAnsi="Courier New"/>
          <w:sz w:val="18"/>
          <w:szCs w:val="18"/>
          <w:color w:val="auto"/>
        </w:rPr>
      </w:pPr>
    </w:p>
    <w:p>
      <w:pPr>
        <w:ind w:left="532" w:right="17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royalties and so on) owed or to be owed to the Third Parties with respect to Existing Royalty Obligations in the Licensed Territory ( ***** which shall be paid as set forth *****). ***** any other payments (license fees, milestone payments and royalties and so on) owed or to be owed to Third Parties other than their Affiliates with respect to patents or patent applications in the Licensed Territory, that are owned or controlled by such Third Parties and that would ***** ***** Products on the basis of</w:t>
      </w:r>
    </w:p>
    <w:p>
      <w:pPr>
        <w:spacing w:after="0" w:line="1" w:lineRule="exact"/>
        <w:rPr>
          <w:rFonts w:ascii="Courier New" w:cs="Courier New" w:eastAsia="Courier New" w:hAnsi="Courier New"/>
          <w:sz w:val="18"/>
          <w:szCs w:val="18"/>
          <w:color w:val="auto"/>
        </w:rPr>
      </w:pPr>
    </w:p>
    <w:p>
      <w:pPr>
        <w:ind w:left="532" w:right="1779" w:hanging="5"/>
        <w:spacing w:after="0" w:line="268" w:lineRule="auto"/>
        <w:tabs>
          <w:tab w:leader="none" w:pos="1164"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directed to *****. With respect to Third Parties patents or patent applications in the Licensed Territory other than those described in above two cases, ***** shall bear any payments (license fees, milestone payments and royalties and so on) owed or to be owed to such Third Parties other than ***** in Asian and European countries listed on Exhibit D, and</w:t>
      </w:r>
    </w:p>
    <w:p>
      <w:pPr>
        <w:ind w:left="1152" w:hanging="625"/>
        <w:spacing w:after="0"/>
        <w:tabs>
          <w:tab w:leader="none" w:pos="1152"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payments</w:t>
      </w:r>
    </w:p>
    <w:p>
      <w:pPr>
        <w:spacing w:after="0" w:line="371"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ind w:left="4112" w:right="2939" w:hanging="4112"/>
        <w:spacing w:after="0" w:line="547" w:lineRule="auto"/>
        <w:tabs>
          <w:tab w:leader="none" w:pos="636"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treatment has been requested for omitted portions. 9</w:t>
      </w:r>
    </w:p>
    <w:p>
      <w:pPr>
        <w:sectPr>
          <w:pgSz w:w="11900" w:h="16838" w:orient="portrait"/>
          <w:cols w:equalWidth="0" w:num="1">
            <w:col w:w="10211"/>
          </w:cols>
          <w:pgMar w:left="248" w:top="691" w:right="1440" w:bottom="1440" w:gutter="0" w:footer="0" w:header="0"/>
          <w:type w:val="continuous"/>
        </w:sectPr>
      </w:pPr>
    </w:p>
    <w:bookmarkStart w:id="18" w:name="page19"/>
    <w:bookmarkEnd w:id="18"/>
    <w:p>
      <w:pPr>
        <w:ind w:left="540" w:right="2099"/>
        <w:spacing w:after="0" w:line="347" w:lineRule="auto"/>
        <w:rPr>
          <w:sz w:val="20"/>
          <w:szCs w:val="20"/>
          <w:color w:val="auto"/>
        </w:rPr>
      </w:pPr>
      <w:r>
        <w:rPr>
          <w:rFonts w:ascii="Courier New" w:cs="Courier New" w:eastAsia="Courier New" w:hAnsi="Courier New"/>
          <w:sz w:val="18"/>
          <w:szCs w:val="18"/>
          <w:color w:val="auto"/>
        </w:rPr>
        <w:t>(license fees, milestone payments and royalties and so on) owed or to be owed to such Third Parties other than ***** in the Rest of World.</w:t>
      </w:r>
    </w:p>
    <w:p>
      <w:pPr>
        <w:spacing w:after="0" w:line="18" w:lineRule="exact"/>
        <w:rPr>
          <w:sz w:val="20"/>
          <w:szCs w:val="20"/>
          <w:color w:val="auto"/>
        </w:rPr>
      </w:pPr>
    </w:p>
    <w:p>
      <w:pPr>
        <w:ind w:left="540" w:right="1879"/>
        <w:spacing w:after="0" w:line="289" w:lineRule="auto"/>
        <w:rPr>
          <w:sz w:val="20"/>
          <w:szCs w:val="20"/>
          <w:color w:val="auto"/>
        </w:rPr>
      </w:pPr>
      <w:r>
        <w:rPr>
          <w:rFonts w:ascii="Courier New" w:cs="Courier New" w:eastAsia="Courier New" w:hAnsi="Courier New"/>
          <w:sz w:val="16"/>
          <w:szCs w:val="16"/>
          <w:color w:val="auto"/>
        </w:rPr>
        <w:t>5.5F Supply and Manufacturing. In the event ***** the Option, the price for supply of NBI-6024 for Commercialization in the Rest of World shall be</w:t>
      </w:r>
    </w:p>
    <w:p>
      <w:pPr>
        <w:spacing w:after="0" w:line="1" w:lineRule="exact"/>
        <w:rPr>
          <w:sz w:val="20"/>
          <w:szCs w:val="20"/>
          <w:color w:val="auto"/>
        </w:rPr>
      </w:pPr>
    </w:p>
    <w:p>
      <w:pPr>
        <w:ind w:left="540" w:right="1779" w:hanging="5"/>
        <w:spacing w:after="0" w:line="278" w:lineRule="auto"/>
        <w:tabs>
          <w:tab w:leader="none" w:pos="1172"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so the provisions in Section 6.4 with regard to the price for supply for Rest of World, irrespective of the provisions set forth in Section 6.4, will not apply to the supply for the Rest of World and the provisions of Section 6.4 will then apply only to the supply for Asian countries and European countries. Similarly, in the event ***** the Option, the provisions in Section 6.7 with regard to the royalty to be paid by Taisho, irrespective of the provisions of Section 6.7, will not apply to the manufacturing by Taisho or its subcontractor of NBI-6024 for the Rest of World (Taisho shall not pay any royalty for the manufacturing by Taisho or its subcontractor of NBI-6024 for the Rest of World) and the provisions of Section 6.7 will then apply only to the manufacturing by Taisho or its subcontractor of NBI-6024 for Asian countries and European countries.</w:t>
      </w:r>
    </w:p>
    <w:p>
      <w:pPr>
        <w:spacing w:after="0" w:line="82"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8"/>
          <w:szCs w:val="18"/>
          <w:color w:val="auto"/>
        </w:rPr>
        <w:t>2.17 Amendment of Article 6.</w:t>
      </w:r>
      <w:r>
        <w:rPr>
          <w:sz w:val="20"/>
          <w:szCs w:val="20"/>
          <w:color w:val="auto"/>
        </w:rPr>
        <w:tab/>
      </w:r>
      <w:r>
        <w:rPr>
          <w:rFonts w:ascii="Courier New" w:cs="Courier New" w:eastAsia="Courier New" w:hAnsi="Courier New"/>
          <w:sz w:val="16"/>
          <w:szCs w:val="16"/>
          <w:color w:val="auto"/>
        </w:rPr>
        <w:t>Article 6 of the License Agreement is hereby</w:t>
      </w:r>
    </w:p>
    <w:p>
      <w:pPr>
        <w:spacing w:after="0" w:line="2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ind w:right="2839"/>
        <w:spacing w:after="0" w:line="309" w:lineRule="auto"/>
        <w:rPr>
          <w:sz w:val="20"/>
          <w:szCs w:val="20"/>
          <w:color w:val="auto"/>
        </w:rPr>
      </w:pPr>
      <w:r>
        <w:rPr>
          <w:rFonts w:ascii="Courier New" w:cs="Courier New" w:eastAsia="Courier New" w:hAnsi="Courier New"/>
          <w:sz w:val="18"/>
          <w:szCs w:val="18"/>
          <w:color w:val="auto"/>
        </w:rPr>
        <w:t>amended to delete all references to Independent Studies and Neurocrine Territory.</w:t>
      </w:r>
    </w:p>
    <w:p>
      <w:pPr>
        <w:spacing w:after="0" w:line="51" w:lineRule="exact"/>
        <w:rPr>
          <w:sz w:val="20"/>
          <w:szCs w:val="20"/>
          <w:color w:val="auto"/>
        </w:rPr>
      </w:pPr>
    </w:p>
    <w:p>
      <w:pPr>
        <w:spacing w:after="0"/>
        <w:tabs>
          <w:tab w:leader="none" w:pos="3360" w:val="left"/>
        </w:tabs>
        <w:rPr>
          <w:sz w:val="20"/>
          <w:szCs w:val="20"/>
          <w:color w:val="auto"/>
        </w:rPr>
      </w:pPr>
      <w:r>
        <w:rPr>
          <w:rFonts w:ascii="Courier New" w:cs="Courier New" w:eastAsia="Courier New" w:hAnsi="Courier New"/>
          <w:sz w:val="18"/>
          <w:szCs w:val="18"/>
          <w:color w:val="auto"/>
        </w:rPr>
        <w:t>2.18 Amendment of Section 6.4.</w:t>
      </w:r>
      <w:r>
        <w:rPr>
          <w:sz w:val="20"/>
          <w:szCs w:val="20"/>
          <w:color w:val="auto"/>
        </w:rPr>
        <w:tab/>
      </w:r>
      <w:r>
        <w:rPr>
          <w:rFonts w:ascii="Courier New" w:cs="Courier New" w:eastAsia="Courier New" w:hAnsi="Courier New"/>
          <w:sz w:val="16"/>
          <w:szCs w:val="16"/>
          <w:color w:val="auto"/>
        </w:rPr>
        <w:t>Section 6.4 of the License Agreement is hereby</w:t>
      </w:r>
    </w:p>
    <w:p>
      <w:pPr>
        <w:spacing w:after="0" w:line="2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amended to add the following subsection (c).</w:t>
      </w:r>
    </w:p>
    <w:p>
      <w:pPr>
        <w:spacing w:after="0" w:line="169" w:lineRule="exact"/>
        <w:rPr>
          <w:sz w:val="20"/>
          <w:szCs w:val="20"/>
          <w:color w:val="auto"/>
        </w:rPr>
      </w:pPr>
    </w:p>
    <w:p>
      <w:pPr>
        <w:ind w:left="640" w:right="1879"/>
        <w:spacing w:after="0" w:line="402" w:lineRule="auto"/>
        <w:tabs>
          <w:tab w:leader="none" w:pos="106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Rest of World in the Licensed Territory, the expiration of Patent Right last to expire of the Licensed Patent Rights in the United States.</w:t>
      </w:r>
    </w:p>
    <w:p>
      <w:pPr>
        <w:spacing w:after="0" w:line="1" w:lineRule="exact"/>
        <w:rPr>
          <w:sz w:val="20"/>
          <w:szCs w:val="20"/>
          <w:color w:val="auto"/>
        </w:rPr>
      </w:pPr>
    </w:p>
    <w:p>
      <w:pPr>
        <w:spacing w:after="0"/>
        <w:tabs>
          <w:tab w:leader="none" w:pos="3360" w:val="left"/>
        </w:tabs>
        <w:rPr>
          <w:sz w:val="20"/>
          <w:szCs w:val="20"/>
          <w:color w:val="auto"/>
        </w:rPr>
      </w:pPr>
      <w:r>
        <w:rPr>
          <w:rFonts w:ascii="Courier New" w:cs="Courier New" w:eastAsia="Courier New" w:hAnsi="Courier New"/>
          <w:sz w:val="18"/>
          <w:szCs w:val="18"/>
          <w:color w:val="auto"/>
        </w:rPr>
        <w:t>2.19 Amendment of Section 6.7.</w:t>
      </w:r>
      <w:r>
        <w:rPr>
          <w:sz w:val="20"/>
          <w:szCs w:val="20"/>
          <w:color w:val="auto"/>
        </w:rPr>
        <w:tab/>
      </w:r>
      <w:r>
        <w:rPr>
          <w:rFonts w:ascii="Courier New" w:cs="Courier New" w:eastAsia="Courier New" w:hAnsi="Courier New"/>
          <w:sz w:val="16"/>
          <w:szCs w:val="16"/>
          <w:color w:val="auto"/>
        </w:rPr>
        <w:t>Section 6.7 of the License Agreement is hereby</w:t>
      </w:r>
    </w:p>
    <w:p>
      <w:pPr>
        <w:spacing w:after="0" w:line="2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amended to read as set forth below.</w:t>
      </w:r>
    </w:p>
    <w:p>
      <w:pPr>
        <w:spacing w:after="0" w:line="169" w:lineRule="exact"/>
        <w:rPr>
          <w:sz w:val="20"/>
          <w:szCs w:val="20"/>
          <w:color w:val="auto"/>
        </w:rPr>
      </w:pPr>
    </w:p>
    <w:p>
      <w:pPr>
        <w:ind w:left="540"/>
        <w:spacing w:after="0"/>
        <w:tabs>
          <w:tab w:leader="none" w:pos="1040" w:val="left"/>
          <w:tab w:leader="none" w:pos="3780" w:val="left"/>
        </w:tabs>
        <w:rPr>
          <w:sz w:val="20"/>
          <w:szCs w:val="20"/>
          <w:color w:val="auto"/>
        </w:rPr>
      </w:pPr>
      <w:r>
        <w:rPr>
          <w:rFonts w:ascii="Courier New" w:cs="Courier New" w:eastAsia="Courier New" w:hAnsi="Courier New"/>
          <w:sz w:val="18"/>
          <w:szCs w:val="18"/>
          <w:color w:val="auto"/>
        </w:rPr>
        <w:t>6.7</w:t>
        <w:tab/>
        <w:t>Manufacturing by Taisho.</w:t>
      </w:r>
      <w:r>
        <w:rPr>
          <w:sz w:val="20"/>
          <w:szCs w:val="20"/>
          <w:color w:val="auto"/>
        </w:rPr>
        <w:tab/>
      </w:r>
      <w:r>
        <w:rPr>
          <w:rFonts w:ascii="Courier New" w:cs="Courier New" w:eastAsia="Courier New" w:hAnsi="Courier New"/>
          <w:sz w:val="16"/>
          <w:szCs w:val="16"/>
          <w:color w:val="auto"/>
        </w:rPr>
        <w:t>To the extent of not conflicting with</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left="540" w:right="1779"/>
        <w:spacing w:after="0" w:line="238" w:lineRule="auto"/>
        <w:rPr>
          <w:sz w:val="20"/>
          <w:szCs w:val="20"/>
          <w:color w:val="auto"/>
        </w:rPr>
      </w:pPr>
      <w:r>
        <w:rPr>
          <w:rFonts w:ascii="Courier New" w:cs="Courier New" w:eastAsia="Courier New" w:hAnsi="Courier New"/>
          <w:sz w:val="18"/>
          <w:szCs w:val="18"/>
          <w:color w:val="auto"/>
        </w:rPr>
        <w:t>Sections 6.1 and 6.2 above or after the expiration of Patent Right last to expire of Licensed Patent Rights in the Licensed Territory, Taisho shall have the right to manufacture NBI-6024 for the Licensed Territory and/or have NBI-6024 manufactured on its behalf, which shall be subject to the terms and conditions to be agreed by the Parties *****. In such cases, Taisho shall pay in consideration of the license of Manufacturing Technology (a) the royalty ***** of Net Sales in all Asian countries in the Licensed Territory until the time set forth in Section 6.4 (a), (b) the royalty ***** of Net Sales in all European countries in the Licensed Territory until the time set forth in Section 6.4 (b) and (c) the royalty</w:t>
      </w:r>
    </w:p>
    <w:p>
      <w:pPr>
        <w:spacing w:after="0" w:line="4" w:lineRule="exact"/>
        <w:rPr>
          <w:sz w:val="20"/>
          <w:szCs w:val="20"/>
          <w:color w:val="auto"/>
        </w:rPr>
      </w:pPr>
    </w:p>
    <w:p>
      <w:pPr>
        <w:ind w:left="540" w:right="2199" w:hanging="5"/>
        <w:spacing w:after="0" w:line="268" w:lineRule="auto"/>
        <w:tabs>
          <w:tab w:leader="none" w:pos="1172"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Net Sales in Rest of World until the time set forth in 6.4(c), provided however ***** to the case in which ***** shall manufacture</w:t>
      </w:r>
    </w:p>
    <w:p>
      <w:pPr>
        <w:ind w:left="1160" w:hanging="625"/>
        <w:spacing w:after="0" w:line="238" w:lineRule="auto"/>
        <w:tabs>
          <w:tab w:leader="none" w:pos="11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supply it to  ***** .  In case the manufacturing cost incurred</w:t>
      </w:r>
    </w:p>
    <w:p>
      <w:pPr>
        <w:ind w:left="1160" w:hanging="625"/>
        <w:spacing w:after="0" w:line="238" w:lineRule="auto"/>
        <w:tabs>
          <w:tab w:leader="none" w:pos="11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 to meet the above requirements,  ***** shall seek for</w:t>
      </w:r>
    </w:p>
    <w:p>
      <w:pPr>
        <w:ind w:left="1160" w:hanging="625"/>
        <w:spacing w:after="0"/>
        <w:tabs>
          <w:tab w:leader="none" w:pos="11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including  *****.</w:t>
      </w:r>
    </w:p>
    <w:p>
      <w:pPr>
        <w:spacing w:after="0" w:line="169" w:lineRule="exact"/>
        <w:rPr>
          <w:sz w:val="20"/>
          <w:szCs w:val="20"/>
          <w:color w:val="auto"/>
        </w:rPr>
      </w:pPr>
    </w:p>
    <w:p>
      <w:pPr>
        <w:spacing w:after="0"/>
        <w:tabs>
          <w:tab w:leader="none" w:pos="3360" w:val="left"/>
        </w:tabs>
        <w:rPr>
          <w:sz w:val="20"/>
          <w:szCs w:val="20"/>
          <w:color w:val="auto"/>
        </w:rPr>
      </w:pPr>
      <w:r>
        <w:rPr>
          <w:rFonts w:ascii="Courier New" w:cs="Courier New" w:eastAsia="Courier New" w:hAnsi="Courier New"/>
          <w:sz w:val="18"/>
          <w:szCs w:val="18"/>
          <w:color w:val="auto"/>
        </w:rPr>
        <w:t>2.20 Amendment of Section 8.1.</w:t>
      </w:r>
      <w:r>
        <w:rPr>
          <w:sz w:val="20"/>
          <w:szCs w:val="20"/>
          <w:color w:val="auto"/>
        </w:rPr>
        <w:tab/>
      </w:r>
      <w:r>
        <w:rPr>
          <w:rFonts w:ascii="Courier New" w:cs="Courier New" w:eastAsia="Courier New" w:hAnsi="Courier New"/>
          <w:sz w:val="16"/>
          <w:szCs w:val="16"/>
          <w:color w:val="auto"/>
        </w:rPr>
        <w:t>Section 8.1 of the License Agreement is hereby</w:t>
      </w:r>
    </w:p>
    <w:p>
      <w:pPr>
        <w:spacing w:after="0" w:line="3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0"/>
          <w:szCs w:val="20"/>
          <w:color w:val="auto"/>
        </w:rPr>
      </w:pPr>
    </w:p>
    <w:p>
      <w:pPr>
        <w:jc w:val="center"/>
        <w:ind w:left="4020" w:right="2939" w:hanging="4012"/>
        <w:spacing w:after="0" w:line="547" w:lineRule="auto"/>
        <w:tabs>
          <w:tab w:leader="none" w:pos="649"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treatment has been requested for omitted portions. 10</w:t>
      </w:r>
    </w:p>
    <w:p>
      <w:pPr>
        <w:sectPr>
          <w:pgSz w:w="11900" w:h="16838" w:orient="portrait"/>
          <w:cols w:equalWidth="0" w:num="1">
            <w:col w:w="10219"/>
          </w:cols>
          <w:pgMar w:left="240" w:top="691"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amended to read as set forth below.</w:t>
      </w:r>
    </w:p>
    <w:p>
      <w:pPr>
        <w:spacing w:after="0" w:line="201" w:lineRule="exact"/>
        <w:rPr>
          <w:sz w:val="20"/>
          <w:szCs w:val="20"/>
          <w:color w:val="auto"/>
        </w:rPr>
      </w:pPr>
    </w:p>
    <w:p>
      <w:pPr>
        <w:ind w:left="640"/>
        <w:spacing w:after="0"/>
        <w:tabs>
          <w:tab w:leader="none" w:pos="1140" w:val="left"/>
          <w:tab w:leader="none" w:pos="2520" w:val="left"/>
        </w:tabs>
        <w:rPr>
          <w:sz w:val="20"/>
          <w:szCs w:val="20"/>
          <w:color w:val="auto"/>
        </w:rPr>
      </w:pPr>
      <w:r>
        <w:rPr>
          <w:rFonts w:ascii="Courier New" w:cs="Courier New" w:eastAsia="Courier New" w:hAnsi="Courier New"/>
          <w:sz w:val="18"/>
          <w:szCs w:val="18"/>
          <w:color w:val="auto"/>
        </w:rPr>
        <w:t>8.1</w:t>
        <w:tab/>
        <w:t>Trademarks.</w:t>
      </w:r>
      <w:r>
        <w:rPr>
          <w:sz w:val="20"/>
          <w:szCs w:val="20"/>
          <w:color w:val="auto"/>
        </w:rPr>
        <w:tab/>
      </w:r>
      <w:r>
        <w:rPr>
          <w:rFonts w:ascii="Courier New" w:cs="Courier New" w:eastAsia="Courier New" w:hAnsi="Courier New"/>
          <w:sz w:val="16"/>
          <w:szCs w:val="16"/>
          <w:color w:val="auto"/>
        </w:rPr>
        <w:t>Taisho will market Products under its own Trademarks.</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tabs>
          <w:tab w:leader="none" w:pos="620" w:val="left"/>
          <w:tab w:leader="none" w:pos="3880" w:val="left"/>
        </w:tabs>
        <w:rPr>
          <w:sz w:val="20"/>
          <w:szCs w:val="20"/>
          <w:color w:val="auto"/>
        </w:rPr>
      </w:pPr>
      <w:r>
        <w:rPr>
          <w:rFonts w:ascii="Courier New" w:cs="Courier New" w:eastAsia="Courier New" w:hAnsi="Courier New"/>
          <w:sz w:val="18"/>
          <w:szCs w:val="18"/>
          <w:color w:val="auto"/>
        </w:rPr>
        <w:t>2.21</w:t>
        <w:tab/>
        <w:t>Amendment of Section 8.2 (b).</w:t>
      </w:r>
      <w:r>
        <w:rPr>
          <w:sz w:val="20"/>
          <w:szCs w:val="20"/>
          <w:color w:val="auto"/>
        </w:rPr>
        <w:tab/>
      </w:r>
      <w:r>
        <w:rPr>
          <w:rFonts w:ascii="Courier New" w:cs="Courier New" w:eastAsia="Courier New" w:hAnsi="Courier New"/>
          <w:sz w:val="16"/>
          <w:szCs w:val="16"/>
          <w:color w:val="auto"/>
        </w:rPr>
        <w:t>Section 8.2 (b) of the License Agreement is</w:t>
      </w:r>
    </w:p>
    <w:p>
      <w:pPr>
        <w:spacing w:after="0" w:line="2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hereby amended to read as set forth below.</w:t>
      </w:r>
    </w:p>
    <w:p>
      <w:pPr>
        <w:spacing w:after="0" w:line="169" w:lineRule="exact"/>
        <w:rPr>
          <w:sz w:val="20"/>
          <w:szCs w:val="20"/>
          <w:color w:val="auto"/>
        </w:rPr>
      </w:pPr>
    </w:p>
    <w:p>
      <w:pPr>
        <w:ind w:left="1160" w:hanging="415"/>
        <w:spacing w:after="0"/>
        <w:tabs>
          <w:tab w:leader="none" w:pos="11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Expenses.  All expenses in connection with prosecution and</w:t>
      </w:r>
    </w:p>
    <w:p>
      <w:pPr>
        <w:spacing w:after="0" w:line="30" w:lineRule="exact"/>
        <w:rPr>
          <w:rFonts w:ascii="Courier New" w:cs="Courier New" w:eastAsia="Courier New" w:hAnsi="Courier New"/>
          <w:sz w:val="18"/>
          <w:szCs w:val="18"/>
          <w:color w:val="auto"/>
        </w:rPr>
      </w:pP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40" w:right="1779"/>
        <w:spacing w:after="0" w:line="283" w:lineRule="auto"/>
        <w:rPr>
          <w:sz w:val="20"/>
          <w:szCs w:val="20"/>
          <w:color w:val="auto"/>
        </w:rPr>
      </w:pPr>
      <w:r>
        <w:rPr>
          <w:rFonts w:ascii="Courier New" w:cs="Courier New" w:eastAsia="Courier New" w:hAnsi="Courier New"/>
          <w:sz w:val="16"/>
          <w:szCs w:val="16"/>
          <w:color w:val="auto"/>
        </w:rPr>
        <w:t>maintenance of the Licensed Patent Rights will be borne by *****, provided, however, ***** shall bear a) all expenses incurred after the execution of this Agreement in connection with prosecution and maintenance of the Licensed Patent Rights in ***** to the extent this Agreement is in force and effect until (effective date of this amendment), and b) all expenses incurred after (effective date of this amendment) in connection with prosecution and maintenance of the Licensed Patent Rights in the Licensed Territory to the extent this Agreement is in force and effect.</w:t>
      </w:r>
    </w:p>
    <w:p>
      <w:pPr>
        <w:spacing w:after="0" w:line="81" w:lineRule="exact"/>
        <w:rPr>
          <w:sz w:val="20"/>
          <w:szCs w:val="20"/>
          <w:color w:val="auto"/>
        </w:rPr>
      </w:pPr>
    </w:p>
    <w:p>
      <w:pPr>
        <w:spacing w:after="0"/>
        <w:tabs>
          <w:tab w:leader="none" w:pos="620" w:val="left"/>
          <w:tab w:leader="none" w:pos="4420" w:val="left"/>
        </w:tabs>
        <w:rPr>
          <w:sz w:val="20"/>
          <w:szCs w:val="20"/>
          <w:color w:val="auto"/>
        </w:rPr>
      </w:pPr>
      <w:r>
        <w:rPr>
          <w:rFonts w:ascii="Courier New" w:cs="Courier New" w:eastAsia="Courier New" w:hAnsi="Courier New"/>
          <w:sz w:val="18"/>
          <w:szCs w:val="18"/>
          <w:color w:val="auto"/>
        </w:rPr>
        <w:t>2.22</w:t>
        <w:tab/>
        <w:t>Amendment of Sections 8.3 and 8.4.</w:t>
      </w:r>
      <w:r>
        <w:rPr>
          <w:sz w:val="20"/>
          <w:szCs w:val="20"/>
          <w:color w:val="auto"/>
        </w:rPr>
        <w:tab/>
      </w:r>
      <w:r>
        <w:rPr>
          <w:rFonts w:ascii="Courier New" w:cs="Courier New" w:eastAsia="Courier New" w:hAnsi="Courier New"/>
          <w:sz w:val="16"/>
          <w:szCs w:val="16"/>
          <w:color w:val="auto"/>
        </w:rPr>
        <w:t>Sections 8.3 and 8.4 of the License</w:t>
      </w:r>
    </w:p>
    <w:p>
      <w:pPr>
        <w:spacing w:after="0" w:line="2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ind w:right="2419"/>
        <w:spacing w:after="0" w:line="273" w:lineRule="auto"/>
        <w:rPr>
          <w:sz w:val="20"/>
          <w:szCs w:val="20"/>
          <w:color w:val="auto"/>
        </w:rPr>
      </w:pPr>
      <w:r>
        <w:rPr>
          <w:rFonts w:ascii="Courier New" w:cs="Courier New" w:eastAsia="Courier New" w:hAnsi="Courier New"/>
          <w:sz w:val="18"/>
          <w:szCs w:val="18"/>
          <w:color w:val="auto"/>
        </w:rPr>
        <w:t>Agreement are hereby amended to delete all references to the Neurocrine Territory and to replace all "the execution of this Agreement" in the both Sections with (effective date of this amendment).</w:t>
      </w:r>
    </w:p>
    <w:p>
      <w:pPr>
        <w:spacing w:after="0" w:line="82" w:lineRule="exact"/>
        <w:rPr>
          <w:sz w:val="20"/>
          <w:szCs w:val="20"/>
          <w:color w:val="auto"/>
        </w:rPr>
      </w:pPr>
    </w:p>
    <w:p>
      <w:pPr>
        <w:spacing w:after="0"/>
        <w:tabs>
          <w:tab w:leader="none" w:pos="620" w:val="left"/>
          <w:tab w:leader="none" w:pos="3560" w:val="left"/>
        </w:tabs>
        <w:rPr>
          <w:sz w:val="20"/>
          <w:szCs w:val="20"/>
          <w:color w:val="auto"/>
        </w:rPr>
      </w:pPr>
      <w:r>
        <w:rPr>
          <w:rFonts w:ascii="Courier New" w:cs="Courier New" w:eastAsia="Courier New" w:hAnsi="Courier New"/>
          <w:sz w:val="18"/>
          <w:szCs w:val="18"/>
          <w:color w:val="auto"/>
        </w:rPr>
        <w:t>2.23</w:t>
        <w:tab/>
        <w:t>Amendment of Sections 8.5.</w:t>
      </w:r>
      <w:r>
        <w:rPr>
          <w:sz w:val="20"/>
          <w:szCs w:val="20"/>
          <w:color w:val="auto"/>
        </w:rPr>
        <w:tab/>
      </w:r>
      <w:r>
        <w:rPr>
          <w:rFonts w:ascii="Courier New" w:cs="Courier New" w:eastAsia="Courier New" w:hAnsi="Courier New"/>
          <w:sz w:val="16"/>
          <w:szCs w:val="16"/>
          <w:color w:val="auto"/>
        </w:rPr>
        <w:t>Sections 8.5(a) of the License Agreement is</w:t>
      </w:r>
    </w:p>
    <w:p>
      <w:pPr>
        <w:spacing w:after="0" w:line="2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hereby amended to read as set forth below.</w:t>
      </w:r>
    </w:p>
    <w:p>
      <w:pPr>
        <w:spacing w:after="0" w:line="169" w:lineRule="exact"/>
        <w:rPr>
          <w:sz w:val="20"/>
          <w:szCs w:val="20"/>
          <w:color w:val="auto"/>
        </w:rPr>
      </w:pPr>
    </w:p>
    <w:p>
      <w:pPr>
        <w:ind w:left="640" w:right="1999"/>
        <w:spacing w:after="0" w:line="249" w:lineRule="auto"/>
        <w:tabs>
          <w:tab w:leader="none" w:pos="1061"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Intellectual property rights regarding any invention made by either Party during the term of this Agreement shall be solely owned by such Party, and the other Party shall have no rights in or to such invention other than those rights specifically granted to such other Party hereunder. The Party who made the invention shall have the right to prosecute and maintain, in its sole discretion and at its own expenses, all patent application or patent regarding such invention in any country in the world. Taisho, its Affiliates and its sublicensees shall have a non-exclusive right to exercise such invention by Neurocrine free of charge only for the purpose of Development and Commercialization of Products in the Licensed Territory.</w:t>
      </w:r>
    </w:p>
    <w:p>
      <w:pPr>
        <w:spacing w:after="0" w:line="104" w:lineRule="exact"/>
        <w:rPr>
          <w:sz w:val="20"/>
          <w:szCs w:val="20"/>
          <w:color w:val="auto"/>
        </w:rPr>
      </w:pPr>
    </w:p>
    <w:p>
      <w:pPr>
        <w:spacing w:after="0"/>
        <w:tabs>
          <w:tab w:leader="none" w:pos="620" w:val="left"/>
          <w:tab w:leader="none" w:pos="3560" w:val="left"/>
        </w:tabs>
        <w:rPr>
          <w:sz w:val="20"/>
          <w:szCs w:val="20"/>
          <w:color w:val="auto"/>
        </w:rPr>
      </w:pPr>
      <w:r>
        <w:rPr>
          <w:rFonts w:ascii="Courier New" w:cs="Courier New" w:eastAsia="Courier New" w:hAnsi="Courier New"/>
          <w:sz w:val="18"/>
          <w:szCs w:val="18"/>
          <w:color w:val="auto"/>
        </w:rPr>
        <w:t>2.24</w:t>
        <w:tab/>
        <w:t>Amendment of Section 11.1.</w:t>
      </w:r>
      <w:r>
        <w:rPr>
          <w:sz w:val="20"/>
          <w:szCs w:val="20"/>
          <w:color w:val="auto"/>
        </w:rPr>
        <w:tab/>
      </w:r>
      <w:r>
        <w:rPr>
          <w:rFonts w:ascii="Courier New" w:cs="Courier New" w:eastAsia="Courier New" w:hAnsi="Courier New"/>
          <w:sz w:val="16"/>
          <w:szCs w:val="16"/>
          <w:color w:val="auto"/>
        </w:rPr>
        <w:t>Section 11.1 of the License Agreement is</w:t>
      </w:r>
    </w:p>
    <w:p>
      <w:pPr>
        <w:spacing w:after="0" w:line="2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hereby amended to read as set forth below.</w:t>
      </w:r>
    </w:p>
    <w:p>
      <w:pPr>
        <w:spacing w:after="0" w:line="169" w:lineRule="exact"/>
        <w:rPr>
          <w:sz w:val="20"/>
          <w:szCs w:val="20"/>
          <w:color w:val="auto"/>
        </w:rPr>
      </w:pP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11.1</w:t>
      </w:r>
      <w:r>
        <w:rPr>
          <w:sz w:val="20"/>
          <w:szCs w:val="20"/>
          <w:color w:val="auto"/>
        </w:rPr>
        <w:tab/>
      </w:r>
      <w:r>
        <w:rPr>
          <w:rFonts w:ascii="Courier New" w:cs="Courier New" w:eastAsia="Courier New" w:hAnsi="Courier New"/>
          <w:sz w:val="16"/>
          <w:szCs w:val="16"/>
          <w:color w:val="auto"/>
        </w:rPr>
        <w:t>Indemnification.</w:t>
      </w:r>
    </w:p>
    <w:p>
      <w:pPr>
        <w:spacing w:after="0" w:line="3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640"/>
        <w:spacing w:after="0"/>
        <w:tabs>
          <w:tab w:leader="none" w:pos="2420" w:val="left"/>
        </w:tabs>
        <w:rPr>
          <w:sz w:val="20"/>
          <w:szCs w:val="20"/>
          <w:color w:val="auto"/>
        </w:rPr>
      </w:pPr>
      <w:r>
        <w:rPr>
          <w:rFonts w:ascii="Courier New" w:cs="Courier New" w:eastAsia="Courier New" w:hAnsi="Courier New"/>
          <w:sz w:val="18"/>
          <w:szCs w:val="18"/>
          <w:color w:val="auto"/>
        </w:rPr>
        <w:t>(a) Non-Patent.</w:t>
      </w:r>
      <w:r>
        <w:rPr>
          <w:sz w:val="20"/>
          <w:szCs w:val="20"/>
          <w:color w:val="auto"/>
        </w:rPr>
        <w:tab/>
      </w:r>
      <w:r>
        <w:rPr>
          <w:rFonts w:ascii="Courier New" w:cs="Courier New" w:eastAsia="Courier New" w:hAnsi="Courier New"/>
          <w:sz w:val="16"/>
          <w:szCs w:val="16"/>
          <w:color w:val="auto"/>
        </w:rPr>
        <w:t>Taisho shall indemnify and hold Neurocrine harmless from</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left="640" w:right="1879"/>
        <w:spacing w:after="0" w:line="256" w:lineRule="auto"/>
        <w:rPr>
          <w:sz w:val="20"/>
          <w:szCs w:val="20"/>
          <w:color w:val="auto"/>
        </w:rPr>
      </w:pPr>
      <w:r>
        <w:rPr>
          <w:rFonts w:ascii="Courier New" w:cs="Courier New" w:eastAsia="Courier New" w:hAnsi="Courier New"/>
          <w:sz w:val="18"/>
          <w:szCs w:val="18"/>
          <w:color w:val="auto"/>
        </w:rPr>
        <w:t>and against any and all liability, damage, loss, cost (including reasonable attorneys' fees) and expense arising out of the Development and/or Commercialization of Products by Taisho, its Affiliates and/or its sublicensees and including the conduct of the Collaboration by Neurocrine other than those</w:t>
      </w: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0"/>
          <w:szCs w:val="20"/>
          <w:color w:val="auto"/>
        </w:rPr>
      </w:pPr>
    </w:p>
    <w:p>
      <w:pPr>
        <w:jc w:val="center"/>
        <w:ind w:left="4020" w:right="2939" w:hanging="4012"/>
        <w:spacing w:after="0" w:line="547" w:lineRule="auto"/>
        <w:tabs>
          <w:tab w:leader="none" w:pos="64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treatment has been requested for omitted portions. 11</w:t>
      </w:r>
    </w:p>
    <w:p>
      <w:pPr>
        <w:sectPr>
          <w:pgSz w:w="11900" w:h="16838" w:orient="portrait"/>
          <w:cols w:equalWidth="0" w:num="1">
            <w:col w:w="10219"/>
          </w:cols>
          <w:pgMar w:left="240" w:top="691" w:right="1440" w:bottom="1440" w:gutter="0" w:footer="0" w:header="0"/>
        </w:sectPr>
      </w:pPr>
    </w:p>
    <w:bookmarkStart w:id="20" w:name="page21"/>
    <w:bookmarkEnd w:id="20"/>
    <w:p>
      <w:pPr>
        <w:ind w:left="540" w:right="1779"/>
        <w:spacing w:after="0" w:line="289" w:lineRule="auto"/>
        <w:rPr>
          <w:sz w:val="20"/>
          <w:szCs w:val="20"/>
          <w:color w:val="auto"/>
        </w:rPr>
      </w:pPr>
      <w:r>
        <w:rPr>
          <w:rFonts w:ascii="Courier New" w:cs="Courier New" w:eastAsia="Courier New" w:hAnsi="Courier New"/>
          <w:sz w:val="16"/>
          <w:szCs w:val="16"/>
          <w:color w:val="auto"/>
        </w:rPr>
        <w:t>arising out of the infringement of a Patent Right of a Third Party through the making, using or selling of Products by Taisho, its Affiliates and/or its sublicensees, provided, however, in case Neurocrine receives notice of a claim for which indemnification may be sought, Neurocrine shall promptly inform Taisho of such notice. Notwithstanding the foregoing Neurocrine shall not be entitled to indemnification under this subsection (a), against any claim of personal injury or property damage to the extent resulting from Neurocrine's negligence or misconduct.</w:t>
      </w:r>
    </w:p>
    <w:p>
      <w:pPr>
        <w:spacing w:after="0" w:line="77" w:lineRule="exact"/>
        <w:rPr>
          <w:sz w:val="20"/>
          <w:szCs w:val="20"/>
          <w:color w:val="auto"/>
        </w:rPr>
      </w:pPr>
    </w:p>
    <w:p>
      <w:pPr>
        <w:ind w:left="960" w:hanging="425"/>
        <w:spacing w:after="0"/>
        <w:tabs>
          <w:tab w:leader="none" w:pos="9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Patent.  Subject to Section 5.3 and Article 8, Taisho will indemnify</w:t>
      </w:r>
    </w:p>
    <w:p>
      <w:pPr>
        <w:spacing w:after="0" w:line="30"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right="1879"/>
        <w:spacing w:after="0" w:line="281" w:lineRule="auto"/>
        <w:rPr>
          <w:sz w:val="20"/>
          <w:szCs w:val="20"/>
          <w:color w:val="auto"/>
        </w:rPr>
      </w:pPr>
      <w:r>
        <w:rPr>
          <w:rFonts w:ascii="Courier New" w:cs="Courier New" w:eastAsia="Courier New" w:hAnsi="Courier New"/>
          <w:sz w:val="16"/>
          <w:szCs w:val="16"/>
          <w:color w:val="auto"/>
        </w:rPr>
        <w:t>Neurocrine and hold Neurocrine harmless from and against any and all liability, damage, loss, cost (including reasonable attorneys' fees) and expense arising out of any claim of infringement of a Patent Right of a Third Party through the making, having made, using, selling or having sold Products by or on behalf of Taisho which is brought by a Third Party, provided, however, in case Neurocrine receives notice of a claim for which indemnification may be sought, Neurocrine shall promptly inform Taisho of such notice and, provided, further, that .the foregoing shall not apply to any Third Party licensor of Existing Royalty Patent Rights.</w:t>
      </w:r>
    </w:p>
    <w:p>
      <w:pPr>
        <w:spacing w:after="0" w:line="84" w:lineRule="exact"/>
        <w:rPr>
          <w:sz w:val="20"/>
          <w:szCs w:val="20"/>
          <w:color w:val="auto"/>
        </w:rPr>
      </w:pPr>
    </w:p>
    <w:p>
      <w:pPr>
        <w:spacing w:after="0"/>
        <w:tabs>
          <w:tab w:leader="none" w:pos="3460" w:val="left"/>
        </w:tabs>
        <w:rPr>
          <w:sz w:val="20"/>
          <w:szCs w:val="20"/>
          <w:color w:val="auto"/>
        </w:rPr>
      </w:pPr>
      <w:r>
        <w:rPr>
          <w:rFonts w:ascii="Courier New" w:cs="Courier New" w:eastAsia="Courier New" w:hAnsi="Courier New"/>
          <w:sz w:val="18"/>
          <w:szCs w:val="18"/>
          <w:color w:val="auto"/>
        </w:rPr>
        <w:t>2.25 Amendment of Section 12.2.</w:t>
      </w:r>
      <w:r>
        <w:rPr>
          <w:sz w:val="20"/>
          <w:szCs w:val="20"/>
          <w:color w:val="auto"/>
        </w:rPr>
        <w:tab/>
      </w:r>
      <w:r>
        <w:rPr>
          <w:rFonts w:ascii="Courier New" w:cs="Courier New" w:eastAsia="Courier New" w:hAnsi="Courier New"/>
          <w:sz w:val="16"/>
          <w:szCs w:val="16"/>
          <w:color w:val="auto"/>
        </w:rPr>
        <w:t>Section 12.2 of the License Agreement is</w:t>
      </w:r>
    </w:p>
    <w:p>
      <w:pPr>
        <w:spacing w:after="0" w:line="2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hereby revised to read as set forth below.</w:t>
      </w:r>
    </w:p>
    <w:p>
      <w:pPr>
        <w:spacing w:after="0" w:line="169" w:lineRule="exact"/>
        <w:rPr>
          <w:sz w:val="20"/>
          <w:szCs w:val="20"/>
          <w:color w:val="auto"/>
        </w:rPr>
      </w:pPr>
    </w:p>
    <w:p>
      <w:pPr>
        <w:ind w:left="740"/>
        <w:spacing w:after="0"/>
        <w:tabs>
          <w:tab w:leader="none" w:pos="1560" w:val="left"/>
        </w:tabs>
        <w:rPr>
          <w:sz w:val="20"/>
          <w:szCs w:val="20"/>
          <w:color w:val="auto"/>
        </w:rPr>
      </w:pPr>
      <w:r>
        <w:rPr>
          <w:rFonts w:ascii="Courier New" w:cs="Courier New" w:eastAsia="Courier New" w:hAnsi="Courier New"/>
          <w:sz w:val="18"/>
          <w:szCs w:val="18"/>
          <w:color w:val="auto"/>
        </w:rPr>
        <w:t>12.2</w:t>
      </w:r>
      <w:r>
        <w:rPr>
          <w:sz w:val="20"/>
          <w:szCs w:val="20"/>
          <w:color w:val="auto"/>
        </w:rPr>
        <w:tab/>
      </w:r>
      <w:r>
        <w:rPr>
          <w:rFonts w:ascii="Courier New" w:cs="Courier New" w:eastAsia="Courier New" w:hAnsi="Courier New"/>
          <w:sz w:val="16"/>
          <w:szCs w:val="16"/>
          <w:color w:val="auto"/>
        </w:rPr>
        <w:t>Termination of Product Development.</w:t>
      </w:r>
    </w:p>
    <w:p>
      <w:pPr>
        <w:spacing w:after="0" w:line="3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740" w:right="1879"/>
        <w:spacing w:after="0" w:line="243" w:lineRule="auto"/>
        <w:rPr>
          <w:sz w:val="20"/>
          <w:szCs w:val="20"/>
          <w:color w:val="auto"/>
        </w:rPr>
      </w:pPr>
      <w:r>
        <w:rPr>
          <w:rFonts w:ascii="Courier New" w:cs="Courier New" w:eastAsia="Courier New" w:hAnsi="Courier New"/>
          <w:sz w:val="18"/>
          <w:szCs w:val="18"/>
          <w:color w:val="auto"/>
        </w:rPr>
        <w:t>Should Taisho ***** , rights of Taisho to Products (including all data, information, physical manifestations and Regulatory Filings) in the Licensed Territory shall revert and be delivered to Neurocrine, and Taisho shall be free from any and all monetary or developmental obligations thereafter. In addition, Neurocrine shall be granted a royalty-free worldwide non-exclusive license with sublicensing rights under the Taisho Technology to make, have made, use and sell Products.</w:t>
      </w:r>
    </w:p>
    <w:p>
      <w:pPr>
        <w:spacing w:after="0" w:line="5" w:lineRule="exact"/>
        <w:rPr>
          <w:sz w:val="20"/>
          <w:szCs w:val="20"/>
          <w:color w:val="auto"/>
        </w:rPr>
      </w:pPr>
    </w:p>
    <w:p>
      <w:pPr>
        <w:jc w:val="both"/>
        <w:ind w:left="740" w:right="2419" w:firstLine="5"/>
        <w:spacing w:after="0" w:line="262" w:lineRule="auto"/>
        <w:tabs>
          <w:tab w:leader="none" w:pos="1477"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may retain its all rights of Asian and European countries listed on Exhibit D subject to the terms and the condition of this Agreement originally executed by the Parties (i.e. the original one before being given any amendment).</w:t>
      </w:r>
    </w:p>
    <w:p>
      <w:pPr>
        <w:spacing w:after="0" w:line="29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3</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MISCELLANEOUS PROVISIONS</w:t>
      </w:r>
    </w:p>
    <w:p>
      <w:pPr>
        <w:spacing w:after="0" w:line="201" w:lineRule="exact"/>
        <w:rPr>
          <w:sz w:val="20"/>
          <w:szCs w:val="20"/>
          <w:color w:val="auto"/>
        </w:rPr>
      </w:pPr>
    </w:p>
    <w:p>
      <w:pPr>
        <w:spacing w:after="0"/>
        <w:tabs>
          <w:tab w:leader="none" w:pos="520" w:val="left"/>
          <w:tab w:leader="none" w:pos="2420" w:val="left"/>
        </w:tabs>
        <w:rPr>
          <w:sz w:val="20"/>
          <w:szCs w:val="20"/>
          <w:color w:val="auto"/>
        </w:rPr>
      </w:pPr>
      <w:r>
        <w:rPr>
          <w:rFonts w:ascii="Courier New" w:cs="Courier New" w:eastAsia="Courier New" w:hAnsi="Courier New"/>
          <w:sz w:val="18"/>
          <w:szCs w:val="18"/>
          <w:color w:val="auto"/>
        </w:rPr>
        <w:t>3.1</w:t>
        <w:tab/>
        <w:t>Further Actions.</w:t>
      </w:r>
      <w:r>
        <w:rPr>
          <w:sz w:val="20"/>
          <w:szCs w:val="20"/>
          <w:color w:val="auto"/>
        </w:rPr>
        <w:tab/>
      </w:r>
      <w:r>
        <w:rPr>
          <w:rFonts w:ascii="Courier New" w:cs="Courier New" w:eastAsia="Courier New" w:hAnsi="Courier New"/>
          <w:sz w:val="16"/>
          <w:szCs w:val="16"/>
          <w:color w:val="auto"/>
        </w:rPr>
        <w:t>Each Party agrees to execute, acknowledge and deliver</w:t>
      </w:r>
    </w:p>
    <w:p>
      <w:pPr>
        <w:spacing w:after="0" w:line="2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ind w:right="1879"/>
        <w:spacing w:after="0" w:line="378" w:lineRule="auto"/>
        <w:rPr>
          <w:sz w:val="20"/>
          <w:szCs w:val="20"/>
          <w:color w:val="auto"/>
        </w:rPr>
      </w:pPr>
      <w:r>
        <w:rPr>
          <w:rFonts w:ascii="Courier New" w:cs="Courier New" w:eastAsia="Courier New" w:hAnsi="Courier New"/>
          <w:sz w:val="16"/>
          <w:szCs w:val="16"/>
          <w:color w:val="auto"/>
        </w:rPr>
        <w:t>such further instruments, and to do all such other acts, as may be necessary or appropriate in order to carry out the purposes and intent of this Amendment.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0"/>
          <w:szCs w:val="20"/>
          <w:color w:val="auto"/>
        </w:rPr>
      </w:pPr>
    </w:p>
    <w:p>
      <w:pPr>
        <w:jc w:val="center"/>
        <w:ind w:left="4020" w:right="2939" w:hanging="4012"/>
        <w:spacing w:after="0" w:line="547" w:lineRule="auto"/>
        <w:tabs>
          <w:tab w:leader="none" w:pos="649"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treatment has been requested for omitted portions. 12</w:t>
      </w:r>
    </w:p>
    <w:p>
      <w:pPr>
        <w:sectPr>
          <w:pgSz w:w="11900" w:h="16838" w:orient="portrait"/>
          <w:cols w:equalWidth="0" w:num="1">
            <w:col w:w="10219"/>
          </w:cols>
          <w:pgMar w:left="240" w:top="691" w:right="1440" w:bottom="1440" w:gutter="0" w:footer="0" w:header="0"/>
        </w:sectPr>
      </w:pPr>
    </w:p>
    <w:bookmarkStart w:id="21" w:name="page22"/>
    <w:bookmarkEnd w:id="21"/>
    <w:p>
      <w:pPr>
        <w:spacing w:after="0"/>
        <w:tabs>
          <w:tab w:leader="none" w:pos="520" w:val="left"/>
          <w:tab w:leader="none" w:pos="2100" w:val="left"/>
        </w:tabs>
        <w:rPr>
          <w:sz w:val="20"/>
          <w:szCs w:val="20"/>
          <w:color w:val="auto"/>
        </w:rPr>
      </w:pPr>
      <w:r>
        <w:rPr>
          <w:rFonts w:ascii="Courier New" w:cs="Courier New" w:eastAsia="Courier New" w:hAnsi="Courier New"/>
          <w:sz w:val="18"/>
          <w:szCs w:val="18"/>
          <w:color w:val="auto"/>
        </w:rPr>
        <w:t>3.2</w:t>
        <w:tab/>
        <w:t>Counterparts.</w:t>
      </w:r>
      <w:r>
        <w:rPr>
          <w:sz w:val="20"/>
          <w:szCs w:val="20"/>
          <w:color w:val="auto"/>
        </w:rPr>
        <w:tab/>
      </w:r>
      <w:r>
        <w:rPr>
          <w:rFonts w:ascii="Courier New" w:cs="Courier New" w:eastAsia="Courier New" w:hAnsi="Courier New"/>
          <w:sz w:val="16"/>
          <w:szCs w:val="16"/>
          <w:color w:val="auto"/>
        </w:rPr>
        <w:t>This Amendment shall be executed in two counterparts, each</w:t>
      </w:r>
    </w:p>
    <w:p>
      <w:pPr>
        <w:spacing w:after="0" w:line="2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ind w:right="2099"/>
        <w:spacing w:after="0" w:line="309" w:lineRule="auto"/>
        <w:rPr>
          <w:sz w:val="20"/>
          <w:szCs w:val="20"/>
          <w:color w:val="auto"/>
        </w:rPr>
      </w:pPr>
      <w:r>
        <w:rPr>
          <w:rFonts w:ascii="Courier New" w:cs="Courier New" w:eastAsia="Courier New" w:hAnsi="Courier New"/>
          <w:sz w:val="18"/>
          <w:szCs w:val="18"/>
          <w:color w:val="auto"/>
        </w:rPr>
        <w:t>of which shall contain the signature of the Parties and all such counterparts shall constitute one and the same agreement.</w:t>
      </w:r>
    </w:p>
    <w:p>
      <w:pPr>
        <w:spacing w:after="0" w:line="5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3.3</w:t>
      </w:r>
      <w:r>
        <w:rPr>
          <w:sz w:val="20"/>
          <w:szCs w:val="20"/>
          <w:color w:val="auto"/>
        </w:rPr>
        <w:tab/>
      </w:r>
      <w:r>
        <w:rPr>
          <w:rFonts w:ascii="Courier New" w:cs="Courier New" w:eastAsia="Courier New" w:hAnsi="Courier New"/>
          <w:sz w:val="16"/>
          <w:szCs w:val="16"/>
          <w:color w:val="auto"/>
        </w:rPr>
        <w:t>Descriptive Headings. The descriptive headings of this Amendment are for</w:t>
      </w:r>
    </w:p>
    <w:p>
      <w:pPr>
        <w:spacing w:after="0" w:line="2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ind w:right="2939"/>
        <w:spacing w:after="0" w:line="309" w:lineRule="auto"/>
        <w:rPr>
          <w:sz w:val="20"/>
          <w:szCs w:val="20"/>
          <w:color w:val="auto"/>
        </w:rPr>
      </w:pPr>
      <w:r>
        <w:rPr>
          <w:rFonts w:ascii="Courier New" w:cs="Courier New" w:eastAsia="Courier New" w:hAnsi="Courier New"/>
          <w:sz w:val="18"/>
          <w:szCs w:val="18"/>
          <w:color w:val="auto"/>
        </w:rPr>
        <w:t>convenience only, and shall be of no force or effect in construing or interpreting any of the provisions of this Amendment.</w:t>
      </w:r>
    </w:p>
    <w:p>
      <w:pPr>
        <w:spacing w:after="0" w:line="51" w:lineRule="exact"/>
        <w:rPr>
          <w:sz w:val="20"/>
          <w:szCs w:val="20"/>
          <w:color w:val="auto"/>
        </w:rPr>
      </w:pPr>
    </w:p>
    <w:p>
      <w:pPr>
        <w:spacing w:after="0"/>
        <w:tabs>
          <w:tab w:leader="none" w:pos="520" w:val="left"/>
          <w:tab w:leader="none" w:pos="2200" w:val="left"/>
        </w:tabs>
        <w:rPr>
          <w:sz w:val="20"/>
          <w:szCs w:val="20"/>
          <w:color w:val="auto"/>
        </w:rPr>
      </w:pPr>
      <w:r>
        <w:rPr>
          <w:rFonts w:ascii="Courier New" w:cs="Courier New" w:eastAsia="Courier New" w:hAnsi="Courier New"/>
          <w:sz w:val="18"/>
          <w:szCs w:val="18"/>
          <w:color w:val="auto"/>
        </w:rPr>
        <w:t>3.4</w:t>
        <w:tab/>
        <w:t>Governing Law.</w:t>
      </w:r>
      <w:r>
        <w:rPr>
          <w:sz w:val="20"/>
          <w:szCs w:val="20"/>
          <w:color w:val="auto"/>
        </w:rPr>
        <w:tab/>
      </w:r>
      <w:r>
        <w:rPr>
          <w:rFonts w:ascii="Courier New" w:cs="Courier New" w:eastAsia="Courier New" w:hAnsi="Courier New"/>
          <w:sz w:val="16"/>
          <w:szCs w:val="16"/>
          <w:color w:val="auto"/>
        </w:rPr>
        <w:t>This Amendment shall be governed by and interpreted in</w:t>
      </w:r>
    </w:p>
    <w:p>
      <w:pPr>
        <w:spacing w:after="0" w:line="2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accordance with the substantive laws of the State of California.</w:t>
      </w:r>
    </w:p>
    <w:p>
      <w:pPr>
        <w:spacing w:after="0" w:line="169" w:lineRule="exact"/>
        <w:rPr>
          <w:sz w:val="20"/>
          <w:szCs w:val="20"/>
          <w:color w:val="auto"/>
        </w:rPr>
      </w:pPr>
    </w:p>
    <w:p>
      <w:pPr>
        <w:spacing w:after="0"/>
        <w:tabs>
          <w:tab w:leader="none" w:pos="520" w:val="left"/>
          <w:tab w:leader="none" w:pos="2100" w:val="left"/>
        </w:tabs>
        <w:rPr>
          <w:sz w:val="20"/>
          <w:szCs w:val="20"/>
          <w:color w:val="auto"/>
        </w:rPr>
      </w:pPr>
      <w:r>
        <w:rPr>
          <w:rFonts w:ascii="Courier New" w:cs="Courier New" w:eastAsia="Courier New" w:hAnsi="Courier New"/>
          <w:sz w:val="18"/>
          <w:szCs w:val="18"/>
          <w:color w:val="auto"/>
        </w:rPr>
        <w:t>3.5</w:t>
        <w:tab/>
        <w:t>Severability.</w:t>
      </w:r>
      <w:r>
        <w:rPr>
          <w:sz w:val="20"/>
          <w:szCs w:val="20"/>
          <w:color w:val="auto"/>
        </w:rPr>
        <w:tab/>
      </w:r>
      <w:r>
        <w:rPr>
          <w:rFonts w:ascii="Courier New" w:cs="Courier New" w:eastAsia="Courier New" w:hAnsi="Courier New"/>
          <w:sz w:val="16"/>
          <w:szCs w:val="16"/>
          <w:color w:val="auto"/>
        </w:rPr>
        <w:t>Whenever possible, each provision of this Amendment will be</w:t>
      </w:r>
    </w:p>
    <w:p>
      <w:pPr>
        <w:spacing w:after="0" w:line="2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ind w:right="1999"/>
        <w:spacing w:after="0" w:line="256" w:lineRule="auto"/>
        <w:rPr>
          <w:sz w:val="20"/>
          <w:szCs w:val="20"/>
          <w:color w:val="auto"/>
        </w:rPr>
      </w:pPr>
      <w:r>
        <w:rPr>
          <w:rFonts w:ascii="Courier New" w:cs="Courier New" w:eastAsia="Courier New" w:hAnsi="Courier New"/>
          <w:sz w:val="18"/>
          <w:szCs w:val="18"/>
          <w:color w:val="auto"/>
        </w:rPr>
        <w:t>interpreted in such manner as to be effective and valid under applicable law, but if any provision of this Amendment is held to be prohibited by or invalid under applicable law, such provision will be ineffective only to the extent of such prohibition or invalidity, without invalidating the remainder of this Amendment.</w:t>
      </w:r>
    </w:p>
    <w:p>
      <w:pPr>
        <w:spacing w:after="0" w:line="96" w:lineRule="exact"/>
        <w:rPr>
          <w:sz w:val="20"/>
          <w:szCs w:val="20"/>
          <w:color w:val="auto"/>
        </w:rPr>
      </w:pPr>
    </w:p>
    <w:p>
      <w:pPr>
        <w:spacing w:after="0"/>
        <w:tabs>
          <w:tab w:leader="none" w:pos="520" w:val="left"/>
          <w:tab w:leader="none" w:pos="4100" w:val="left"/>
        </w:tabs>
        <w:rPr>
          <w:sz w:val="20"/>
          <w:szCs w:val="20"/>
          <w:color w:val="auto"/>
        </w:rPr>
      </w:pPr>
      <w:r>
        <w:rPr>
          <w:rFonts w:ascii="Courier New" w:cs="Courier New" w:eastAsia="Courier New" w:hAnsi="Courier New"/>
          <w:sz w:val="18"/>
          <w:szCs w:val="18"/>
          <w:color w:val="auto"/>
        </w:rPr>
        <w:t>3.6</w:t>
        <w:tab/>
        <w:t>Entire Agreement of the Parties.</w:t>
      </w:r>
      <w:r>
        <w:rPr>
          <w:sz w:val="20"/>
          <w:szCs w:val="20"/>
          <w:color w:val="auto"/>
        </w:rPr>
        <w:tab/>
      </w:r>
      <w:r>
        <w:rPr>
          <w:rFonts w:ascii="Courier New" w:cs="Courier New" w:eastAsia="Courier New" w:hAnsi="Courier New"/>
          <w:sz w:val="16"/>
          <w:szCs w:val="16"/>
          <w:color w:val="auto"/>
        </w:rPr>
        <w:t>This Amendment together with the License</w:t>
      </w:r>
    </w:p>
    <w:p>
      <w:pPr>
        <w:spacing w:after="0" w:line="2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ind w:right="1999"/>
        <w:spacing w:after="0" w:line="304" w:lineRule="auto"/>
        <w:rPr>
          <w:sz w:val="20"/>
          <w:szCs w:val="20"/>
          <w:color w:val="auto"/>
        </w:rPr>
      </w:pPr>
      <w:r>
        <w:rPr>
          <w:rFonts w:ascii="Courier New" w:cs="Courier New" w:eastAsia="Courier New" w:hAnsi="Courier New"/>
          <w:sz w:val="16"/>
          <w:szCs w:val="16"/>
          <w:color w:val="auto"/>
        </w:rPr>
        <w:t>Agreement will constitute and contain the complete, final and exclusive understanding and agreement of the Parties and cancels and supersedes any and all prior negotiations, correspondence, understandings and agreements, whether oral or written, between the Parties respecting the subject matter hereof.</w:t>
      </w:r>
    </w:p>
    <w:p>
      <w:pPr>
        <w:spacing w:after="0" w:line="63" w:lineRule="exact"/>
        <w:rPr>
          <w:sz w:val="20"/>
          <w:szCs w:val="20"/>
          <w:color w:val="auto"/>
        </w:rPr>
      </w:pPr>
    </w:p>
    <w:p>
      <w:pPr>
        <w:spacing w:after="0"/>
        <w:tabs>
          <w:tab w:leader="none" w:pos="520" w:val="left"/>
          <w:tab w:leader="none" w:pos="2720" w:val="left"/>
        </w:tabs>
        <w:rPr>
          <w:sz w:val="20"/>
          <w:szCs w:val="20"/>
          <w:color w:val="auto"/>
        </w:rPr>
      </w:pPr>
      <w:r>
        <w:rPr>
          <w:rFonts w:ascii="Courier New" w:cs="Courier New" w:eastAsia="Courier New" w:hAnsi="Courier New"/>
          <w:sz w:val="18"/>
          <w:szCs w:val="18"/>
          <w:color w:val="auto"/>
        </w:rPr>
        <w:t>3.7</w:t>
        <w:tab/>
        <w:t>Dispute Resolution.</w:t>
      </w:r>
      <w:r>
        <w:rPr>
          <w:sz w:val="20"/>
          <w:szCs w:val="20"/>
          <w:color w:val="auto"/>
        </w:rPr>
        <w:tab/>
      </w:r>
      <w:r>
        <w:rPr>
          <w:rFonts w:ascii="Courier New" w:cs="Courier New" w:eastAsia="Courier New" w:hAnsi="Courier New"/>
          <w:sz w:val="16"/>
          <w:szCs w:val="16"/>
          <w:color w:val="auto"/>
        </w:rPr>
        <w:t>The Parties agree that in the event of a dispute</w:t>
      </w:r>
    </w:p>
    <w:p>
      <w:pPr>
        <w:spacing w:after="0" w:line="2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ind w:right="1779"/>
        <w:spacing w:after="0" w:line="281" w:lineRule="auto"/>
        <w:rPr>
          <w:sz w:val="20"/>
          <w:szCs w:val="20"/>
          <w:color w:val="auto"/>
        </w:rPr>
      </w:pPr>
      <w:r>
        <w:rPr>
          <w:rFonts w:ascii="Courier New" w:cs="Courier New" w:eastAsia="Courier New" w:hAnsi="Courier New"/>
          <w:sz w:val="16"/>
          <w:szCs w:val="16"/>
          <w:color w:val="auto"/>
        </w:rPr>
        <w:t>between them arising from, concerning or in any way relating to this Amendment, the Parties shall undertake good faith efforts to resolve any such dispute in good faith. In the event the Parties shall be unable to resolve any such dispute, the matter shall be referred to the Chief Executive Officer of Neurocrine and the President of Taisho for further review and resolution. In the event that they shall be unable to resolve the dispute, then the dispute shall be finally settled by arbitration, in San Francisco, California, under the Rules of Conciliation and Arbitration of the International Chamber of Commerce. The award of arbitration shall be final and binding upon both Parties.</w:t>
      </w:r>
    </w:p>
    <w:p>
      <w:pPr>
        <w:spacing w:after="0" w:line="2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0"/>
          <w:szCs w:val="20"/>
          <w:color w:val="auto"/>
        </w:rPr>
      </w:pPr>
    </w:p>
    <w:p>
      <w:pPr>
        <w:jc w:val="center"/>
        <w:ind w:left="4020" w:right="2939" w:hanging="4012"/>
        <w:spacing w:after="0" w:line="547" w:lineRule="auto"/>
        <w:tabs>
          <w:tab w:leader="none" w:pos="649"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treatment has been requested for omitted portions. 13</w:t>
      </w:r>
    </w:p>
    <w:p>
      <w:pPr>
        <w:sectPr>
          <w:pgSz w:w="11900" w:h="16838" w:orient="portrait"/>
          <w:cols w:equalWidth="0" w:num="1">
            <w:col w:w="10219"/>
          </w:cols>
          <w:pgMar w:left="240" w:top="691" w:right="1440" w:bottom="1440" w:gutter="0" w:footer="0" w:header="0"/>
        </w:sectPr>
      </w:pPr>
    </w:p>
    <w:bookmarkStart w:id="22" w:name="page23"/>
    <w:bookmarkEnd w:id="22"/>
    <w:p>
      <w:pPr>
        <w:ind w:right="2099"/>
        <w:spacing w:after="0" w:line="347" w:lineRule="auto"/>
        <w:rPr>
          <w:sz w:val="20"/>
          <w:szCs w:val="20"/>
          <w:color w:val="auto"/>
        </w:rPr>
      </w:pPr>
      <w:r>
        <w:rPr>
          <w:rFonts w:ascii="Courier New" w:cs="Courier New" w:eastAsia="Courier New" w:hAnsi="Courier New"/>
          <w:sz w:val="18"/>
          <w:szCs w:val="18"/>
          <w:color w:val="auto"/>
        </w:rPr>
        <w:t>IN WITNESS WHEREOF, the Parties hereto have executed this Amendment as of the date first above written.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NEUROCRINE BIOSCIENCES,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Margaret Valeur-Jensen</w:t>
      </w:r>
    </w:p>
    <w:p>
      <w:pPr>
        <w:spacing w:after="0" w:line="31" w:lineRule="exact"/>
        <w:rPr>
          <w:sz w:val="20"/>
          <w:szCs w:val="20"/>
          <w:color w:val="auto"/>
        </w:rPr>
      </w:pPr>
    </w:p>
    <w:p>
      <w:pPr>
        <w:ind w:left="220" w:hanging="212"/>
        <w:spacing w:after="0"/>
        <w:tabs>
          <w:tab w:leader="none" w:pos="2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By: Margaret Valeur-Jensen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Title: Senior Vice President and General Counsel</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TAISHO PHARMACEUTICAL CO., LTD.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Akira Uehara</w:t>
      </w:r>
    </w:p>
    <w:p>
      <w:pPr>
        <w:spacing w:after="0" w:line="31"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By: Akira Uehara</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Title: President</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sectPr>
      <w:pgSz w:w="11900" w:h="16838" w:orient="portrait"/>
      <w:cols w:equalWidth="0" w:num="1">
        <w:col w:w="10219"/>
      </w:cols>
      <w:pgMar w:left="240" w:top="6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decimal"/>
      <w:start w:val="858"/>
    </w:lvl>
  </w:abstractNum>
  <w:abstractNum w:abstractNumId="1">
    <w:nsid w:val="7C83E458"/>
    <w:multiLevelType w:val="hybridMultilevel"/>
    <w:lvl w:ilvl="0">
      <w:lvlJc w:val="left"/>
      <w:lvlText w:val="(%1)"/>
      <w:numFmt w:val="lowerLetter"/>
      <w:start w:val="3"/>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1)"/>
      <w:numFmt w:val="lowerLetter"/>
      <w:start w:val="1"/>
    </w:lvl>
  </w:abstractNum>
  <w:abstractNum w:abstractNumId="7">
    <w:nsid w:val="721DA317"/>
    <w:multiLevelType w:val="hybridMultilevel"/>
    <w:lvl w:ilvl="0">
      <w:lvlJc w:val="left"/>
      <w:lvlText w:val="(%1)"/>
      <w:numFmt w:val="lowerLetter"/>
      <w:start w:val="2"/>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1)"/>
      <w:numFmt w:val="lowerLetter"/>
      <w:start w:val="2"/>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1)"/>
      <w:numFmt w:val="lowerLetter"/>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lvl w:ilvl="1">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lvl w:ilvl="1">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1)"/>
      <w:numFmt w:val="lowerLetter"/>
      <w:start w:val="3"/>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1)"/>
      <w:numFmt w:val="lowerLetter"/>
      <w:start w:val="2"/>
    </w:lvl>
  </w:abstractNum>
  <w:abstractNum w:abstractNumId="28">
    <w:nsid w:val="22221A70"/>
    <w:multiLevelType w:val="hybridMultilevel"/>
    <w:lvl w:ilvl="0">
      <w:lvlJc w:val="left"/>
      <w:lvlText w:val="(%1)"/>
      <w:numFmt w:val="lowerLetter"/>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1)"/>
      <w:numFmt w:val="lowerLetter"/>
      <w:start w:val="2"/>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
      <w:numFmt w:val="bullet"/>
      <w:start w:val="1"/>
    </w:lvl>
  </w:abstractNum>
  <w:abstractNum w:abstractNumId="33">
    <w:nsid w:val="5577F8E1"/>
    <w:multiLevelType w:val="hybridMultilevel"/>
    <w:lvl w:ilvl="0">
      <w:lvlJc w:val="left"/>
      <w:lvlText w:val="*****"/>
      <w:numFmt w:val="bullet"/>
      <w:start w:val="1"/>
    </w:lvl>
  </w:abstractNum>
  <w:abstractNum w:abstractNumId="34">
    <w:nsid w:val="440BADFC"/>
    <w:multiLevelType w:val="hybridMultilevel"/>
    <w:lvl w:ilvl="0">
      <w:lvlJc w:val="left"/>
      <w:lvlText w:val="-"/>
      <w:numFmt w:val="bullet"/>
      <w:start w:val="1"/>
    </w:lvl>
  </w:abstractNum>
  <w:abstractNum w:abstractNumId="35">
    <w:nsid w:val="507236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2019-12-14T02:08:21Z</dcterms:created>
  <dcterms:modified xsi:type="dcterms:W3CDTF">2019-12-14T02:08:21Z</dcterms:modified>
</cp:coreProperties>
</file>