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390525</wp:posOffset>
            </wp:positionV>
            <wp:extent cx="359156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9156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NEUROCRINE BIOSCIENCES,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0-22705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33-0525145</w:t>
      </w:r>
    </w:p>
    <w:p>
      <w:pPr>
        <w:spacing w:after="0" w:line="24" w:lineRule="exact"/>
        <w:rPr>
          <w:sz w:val="24"/>
          <w:szCs w:val="24"/>
          <w:color w:val="auto"/>
        </w:rPr>
      </w:pPr>
    </w:p>
    <w:p>
      <w:pPr>
        <w:sectPr>
          <w:pgSz w:w="11900" w:h="16838" w:orient="portrait"/>
          <w:cols w:equalWidth="0" w:num="3">
            <w:col w:w="4600" w:space="720"/>
            <w:col w:w="2780" w:space="720"/>
            <w:col w:w="2200"/>
          </w:cols>
          <w:pgMar w:left="440" w:top="443"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2" w:lineRule="exact"/>
        <w:rPr>
          <w:sz w:val="24"/>
          <w:szCs w:val="24"/>
          <w:color w:val="auto"/>
        </w:rPr>
      </w:pPr>
    </w:p>
    <w:p>
      <w:pPr>
        <w:sectPr>
          <w:pgSz w:w="11900" w:h="16838" w:orient="portrait"/>
          <w:cols w:equalWidth="0" w:num="2">
            <w:col w:w="7400" w:space="720"/>
            <w:col w:w="2900"/>
          </w:cols>
          <w:pgMar w:left="440" w:top="443"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NBIX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As previously disclosed in the Current Report on Form 8-K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by Neurocrine Biosciences,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April 6, 2026, the Company entered into an Agreement and Plan of Merger, dated as of April 5, 2026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with Sigma Merger Sub, Inc., a Delaware corporation and a direct wholly owned subsidiary of the Company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Soleno Therapeutics, Inc., a Delaware corporation (“</w:t>
      </w:r>
      <w:r>
        <w:rPr>
          <w:rFonts w:ascii="Times New Roman" w:cs="Times New Roman" w:eastAsia="Times New Roman" w:hAnsi="Times New Roman"/>
          <w:sz w:val="17"/>
          <w:szCs w:val="17"/>
          <w:b w:val="1"/>
          <w:bCs w:val="1"/>
          <w:i w:val="1"/>
          <w:iCs w:val="1"/>
          <w:color w:val="auto"/>
        </w:rPr>
        <w:t>Soleno</w:t>
      </w:r>
      <w:r>
        <w:rPr>
          <w:rFonts w:ascii="Times New Roman" w:cs="Times New Roman" w:eastAsia="Times New Roman" w:hAnsi="Times New Roman"/>
          <w:sz w:val="17"/>
          <w:szCs w:val="17"/>
          <w:color w:val="auto"/>
        </w:rPr>
        <w:t>”). Pursuant to the Merger Agreement, on April 20, 2026, the Company, through Purchaser, commenced a tender offer to purchase all the outstanding shares of Soleno’s common stock, par value $0.001 per share (the “</w:t>
      </w:r>
      <w:r>
        <w:rPr>
          <w:rFonts w:ascii="Times New Roman" w:cs="Times New Roman" w:eastAsia="Times New Roman" w:hAnsi="Times New Roman"/>
          <w:sz w:val="17"/>
          <w:szCs w:val="17"/>
          <w:b w:val="1"/>
          <w:bCs w:val="1"/>
          <w:i w:val="1"/>
          <w:iCs w:val="1"/>
          <w:color w:val="auto"/>
        </w:rPr>
        <w:t>Soleno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at a price of $53.00 per Soleno Share (the “</w:t>
      </w:r>
      <w:r>
        <w:rPr>
          <w:rFonts w:ascii="Times New Roman" w:cs="Times New Roman" w:eastAsia="Times New Roman" w:hAnsi="Times New Roman"/>
          <w:sz w:val="17"/>
          <w:szCs w:val="17"/>
          <w:b w:val="1"/>
          <w:bCs w:val="1"/>
          <w:i w:val="1"/>
          <w:iCs w:val="1"/>
          <w:color w:val="auto"/>
        </w:rPr>
        <w:t>Offer Price</w:t>
      </w:r>
      <w:r>
        <w:rPr>
          <w:rFonts w:ascii="Times New Roman" w:cs="Times New Roman" w:eastAsia="Times New Roman" w:hAnsi="Times New Roman"/>
          <w:sz w:val="17"/>
          <w:szCs w:val="17"/>
          <w:color w:val="auto"/>
        </w:rPr>
        <w:t>”), in cash, without interest and subject to any required withholding taxes, upon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and subject to the conditions set forth in the Offer to Purchase, dated April 20, 2026 (together with any amendments or supplements thereto, the “</w:t>
      </w:r>
      <w:r>
        <w:rPr>
          <w:rFonts w:ascii="Times New Roman" w:cs="Times New Roman" w:eastAsia="Times New Roman" w:hAnsi="Times New Roman"/>
          <w:sz w:val="17"/>
          <w:szCs w:val="17"/>
          <w:b w:val="1"/>
          <w:bCs w:val="1"/>
          <w:i w:val="1"/>
          <w:iCs w:val="1"/>
          <w:color w:val="auto"/>
        </w:rPr>
        <w:t>Offer to Purchase</w:t>
      </w:r>
      <w:r>
        <w:rPr>
          <w:rFonts w:ascii="Times New Roman" w:cs="Times New Roman" w:eastAsia="Times New Roman" w:hAnsi="Times New Roman"/>
          <w:sz w:val="17"/>
          <w:szCs w:val="17"/>
          <w:color w:val="auto"/>
        </w:rPr>
        <w:t>”) and in the related Letter of Transmittal (together with any amendments or supplements thereto, the “</w:t>
      </w:r>
      <w:r>
        <w:rPr>
          <w:rFonts w:ascii="Times New Roman" w:cs="Times New Roman" w:eastAsia="Times New Roman" w:hAnsi="Times New Roman"/>
          <w:sz w:val="17"/>
          <w:szCs w:val="17"/>
          <w:b w:val="1"/>
          <w:bCs w:val="1"/>
          <w:i w:val="1"/>
          <w:iCs w:val="1"/>
          <w:color w:val="auto"/>
        </w:rPr>
        <w:t>Letter of Transmittal</w:t>
      </w:r>
      <w:r>
        <w:rPr>
          <w:rFonts w:ascii="Times New Roman" w:cs="Times New Roman" w:eastAsia="Times New Roman" w:hAnsi="Times New Roman"/>
          <w:sz w:val="17"/>
          <w:szCs w:val="17"/>
          <w:color w:val="auto"/>
        </w:rPr>
        <w:t>”; the Offer to Purchase and the Letter of Transmittal, collectively, the “</w:t>
      </w:r>
      <w:r>
        <w:rPr>
          <w:rFonts w:ascii="Times New Roman" w:cs="Times New Roman" w:eastAsia="Times New Roman" w:hAnsi="Times New Roman"/>
          <w:sz w:val="17"/>
          <w:szCs w:val="17"/>
          <w:b w:val="1"/>
          <w:bCs w:val="1"/>
          <w:i w:val="1"/>
          <w:iCs w:val="1"/>
          <w:color w:val="auto"/>
        </w:rPr>
        <w:t>Offer</w:t>
      </w:r>
      <w:r>
        <w:rPr>
          <w:rFonts w:ascii="Times New Roman" w:cs="Times New Roman" w:eastAsia="Times New Roman" w:hAnsi="Times New Roman"/>
          <w:sz w:val="17"/>
          <w:szCs w:val="17"/>
          <w:color w:val="auto"/>
        </w:rPr>
        <w:t>”). The Offer to Purchase and the Letter of Transmittal were filed as Exhibits (a)</w:t>
      </w:r>
    </w:p>
    <w:p>
      <w:pPr>
        <w:spacing w:after="0" w:line="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(1)(A) and (a)(1)(B), respectively, to the Tender Offer Statement on Schedule TO originally filed with the SEC by Purchaser and the Company on April 20, 2026.</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2.03 of this Current Report on Form 8-K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is incorporated by reference into this Item 1.01.</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Report is incorporated by reference into this Item 2.01.</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at one minute following 11:59 p.m. Eastern time on May 15, 2026 (such date and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Purchaser was advised by Equiniti Trust Company, LLC, the depositary for the Offer, that as of the Expiration Date, a total of 46,356,114 Soleno Shares had been validly tendered (and not validly withdrawn) pursuant to the Offer, representing approximately 88.9% of the issued and outstanding Soleno Shares as of the Expiration Date. As of the Expiration Date, the number of Soleno Shares validly tendered and not validly withdrawn pursuant to the Offer satisfied the Minimum Condition (as defined in the Merger Agreement), and all other conditions to the Offer were satisfied or waived. Promptly after the Expiration Date, Purchaser irrevocably accepted for payment all Soleno Shares validly tendered and not validly withdrawn pursuant to the Offer and payment of the Offer Price for such Soleno Shares will be made promptly in accordance with the terms of the Offer and the Merger Agreement.</w:t>
      </w:r>
    </w:p>
    <w:p>
      <w:pPr>
        <w:spacing w:after="0" w:line="18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The Company completed the acquisition of Soleno on May 18, 2026, by causing Purchaser to merge with and into Soleno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pursuant to the Merger Agreement without any action by Soleno stockholders in accordance with Section 251(h)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At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Purchaser was merged with and into Soleno, the separate existence of Purchaser ceased and Soleno continued as a direct wholly owned subsidiary of the Company.</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At the Effective Time, each Soleno Share issued and outstanding immediately prior to the Effective Time (other than (i) Soleno Shares owned immediately prior to the Effective Time by Soleno (including those held in Soleno’s treasury), (ii) Soleno Shares owned both as of the commencement date of the Offer and immediately prior to the Effective Time by the Company, Purchaser, or any other direct or indirect wholly owned subsidiary of the Company, (iii) Soleno Shares irrevocably accepted by Purchaser for purchase pursuant to the Offer and (iv) Soleno Shares held by stockholders who have properly exercised and perfected their demands for appraisal of such Soleno Shares in accordance with the DGCL and have neither withdrawn nor lost such rights prior to the Effective Time) was canceled and ceased to exist and was converted into the right to receive the Offer Price, without interest and subject to any required withholding of taxes.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pursuant to the terms of the Merger Agreement, effective as of immediately prior to the Effective Time, by virtue of the Merger, without any action on the part of Soleno, the Company, Purchaser or the holder thereof:</w:t>
      </w:r>
    </w:p>
    <w:p>
      <w:pPr>
        <w:spacing w:after="0" w:line="50" w:lineRule="exact"/>
        <w:rPr>
          <w:sz w:val="20"/>
          <w:szCs w:val="20"/>
          <w:color w:val="auto"/>
        </w:rPr>
      </w:pPr>
    </w:p>
    <w:p>
      <w:pPr>
        <w:ind w:left="440" w:right="40" w:firstLine="419"/>
        <w:spacing w:after="0" w:line="259" w:lineRule="auto"/>
        <w:tabs>
          <w:tab w:leader="none" w:pos="10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Soleno Shares (each, a “</w:t>
      </w:r>
      <w:r>
        <w:rPr>
          <w:rFonts w:ascii="Times New Roman" w:cs="Times New Roman" w:eastAsia="Times New Roman" w:hAnsi="Times New Roman"/>
          <w:sz w:val="18"/>
          <w:szCs w:val="18"/>
          <w:b w:val="1"/>
          <w:bCs w:val="1"/>
          <w:i w:val="1"/>
          <w:iCs w:val="1"/>
          <w:color w:val="auto"/>
        </w:rPr>
        <w:t>Soleno Option</w:t>
      </w:r>
      <w:r>
        <w:rPr>
          <w:rFonts w:ascii="Times New Roman" w:cs="Times New Roman" w:eastAsia="Times New Roman" w:hAnsi="Times New Roman"/>
          <w:sz w:val="18"/>
          <w:szCs w:val="18"/>
          <w:color w:val="auto"/>
        </w:rPr>
        <w:t>”) that was outstanding and unexercised as of immediately prior to the Effective Time and that did not have an exercise price per Soleno Share that was equal to or greater than the Offer Price, whether or not then vested or exercisable, was canceled and converted into the right to receive an amount in cash, without interest and subject to any applicable withholding taxes, equal to (x) the total number of Soleno Shares subject to such Soleno Option immediately prior to such cancellation multiplied by (y) the excess, if any, of (A) the Offer Price over (B) the exercise price payable per Soleno Share underlying such Soleno Option;</w:t>
      </w:r>
    </w:p>
    <w:p>
      <w:pPr>
        <w:spacing w:after="0" w:line="75" w:lineRule="exact"/>
        <w:rPr>
          <w:rFonts w:ascii="Times New Roman" w:cs="Times New Roman" w:eastAsia="Times New Roman" w:hAnsi="Times New Roman"/>
          <w:sz w:val="18"/>
          <w:szCs w:val="18"/>
          <w:color w:val="auto"/>
        </w:rPr>
      </w:pPr>
    </w:p>
    <w:p>
      <w:pPr>
        <w:jc w:val="both"/>
        <w:ind w:left="440" w:right="280" w:firstLine="419"/>
        <w:spacing w:after="0" w:line="266" w:lineRule="auto"/>
        <w:tabs>
          <w:tab w:leader="none" w:pos="11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Soleno Option that was outstanding and unexercised as of immediately prior to the Effective Time and that did have an exercise price per Soleno Share that was equal to or greater than the Offer Price, whether or not then vested or exercisable, was canceled and no holder thereof was entitled to any payment with respect to such Soleno Option before or after the Effective Time; and</w:t>
      </w:r>
    </w:p>
    <w:p>
      <w:pPr>
        <w:spacing w:after="0" w:line="63" w:lineRule="exact"/>
        <w:rPr>
          <w:rFonts w:ascii="Times New Roman" w:cs="Times New Roman" w:eastAsia="Times New Roman" w:hAnsi="Times New Roman"/>
          <w:sz w:val="18"/>
          <w:szCs w:val="18"/>
          <w:color w:val="auto"/>
        </w:rPr>
      </w:pPr>
    </w:p>
    <w:p>
      <w:pPr>
        <w:ind w:left="440" w:firstLine="419"/>
        <w:spacing w:after="0" w:line="262" w:lineRule="auto"/>
        <w:tabs>
          <w:tab w:leader="none" w:pos="11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with respect to Soleno Shares (each, a “</w:t>
      </w:r>
      <w:r>
        <w:rPr>
          <w:rFonts w:ascii="Times New Roman" w:cs="Times New Roman" w:eastAsia="Times New Roman" w:hAnsi="Times New Roman"/>
          <w:sz w:val="18"/>
          <w:szCs w:val="18"/>
          <w:b w:val="1"/>
          <w:bCs w:val="1"/>
          <w:i w:val="1"/>
          <w:iCs w:val="1"/>
          <w:color w:val="auto"/>
        </w:rPr>
        <w:t>Soleno RSU Award</w:t>
      </w:r>
      <w:r>
        <w:rPr>
          <w:rFonts w:ascii="Times New Roman" w:cs="Times New Roman" w:eastAsia="Times New Roman" w:hAnsi="Times New Roman"/>
          <w:sz w:val="18"/>
          <w:szCs w:val="18"/>
          <w:color w:val="auto"/>
        </w:rPr>
        <w:t>”) that was outstanding immediately prior to the Effective Time, whether or not then vested, vested fully and was canceled and converted into the right to receive an amount in cash, without interest and subject to any applicable withholding taxes, equal to (x) the number of Soleno Shares subject to such Soleno RSU Award immediately prior to such cancellation multiplied by (y) the Offer Price.</w:t>
      </w:r>
    </w:p>
    <w:p>
      <w:pPr>
        <w:spacing w:after="0" w:line="180"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All amounts payable to current or former Soleno employees with respect to Soleno Options and Soleno RSU Awards will be paid as soon as reasonably practicable after the Effective Time (but no later than fifteen (15) days after the Effective Time) and will be subject to deduction for any required tax withholding.</w:t>
      </w:r>
    </w:p>
    <w:p>
      <w:pPr>
        <w:spacing w:after="0" w:line="172"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The Soleno Shares underlying all warrants to purchase Soleno Shares (“</w:t>
      </w:r>
      <w:r>
        <w:rPr>
          <w:rFonts w:ascii="Times New Roman" w:cs="Times New Roman" w:eastAsia="Times New Roman" w:hAnsi="Times New Roman"/>
          <w:sz w:val="17"/>
          <w:szCs w:val="17"/>
          <w:b w:val="1"/>
          <w:bCs w:val="1"/>
          <w:i w:val="1"/>
          <w:iCs w:val="1"/>
          <w:color w:val="auto"/>
        </w:rPr>
        <w:t>Soleno Warrants</w:t>
      </w:r>
      <w:r>
        <w:rPr>
          <w:rFonts w:ascii="Times New Roman" w:cs="Times New Roman" w:eastAsia="Times New Roman" w:hAnsi="Times New Roman"/>
          <w:sz w:val="17"/>
          <w:szCs w:val="17"/>
          <w:color w:val="auto"/>
        </w:rPr>
        <w:t>”) that were exercised prior to the Effective Time were treated in the same manner as each Soleno Share outstanding immediately prior to the Effective Time. All Soleno Warrants that were outstanding and unexercised immediately prior to the Effective Time, whether vested or unvested, were treated as being simultaneously cashless exercised as of immediately prior to the Effective Time, subject to deduction for any required withholding taxes, in accordance with the terms and conditions specified in the applicable Soleno Warrant and the related warrant termination agreements between Soleno and the respective holders of the Soleno Warrants.</w:t>
      </w:r>
    </w:p>
    <w:p>
      <w:pPr>
        <w:spacing w:after="0" w:line="168"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aggregate cash paid by the Company and Purchaser in the Offer and the Merger was approximately $2.9 billion, plus related fees and expenses, which was funded by the Company from its available cash on hand.</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Offer, the Merger, the Merger Agreement and the transactions contemplated thereby does not purport to be complete and is qualified in its entirety by reference to the Merger Agreement, a copy of which was previously filed as Exhibit 2.1 to the Company’s Current Report on Form 8-K filed with the SEC on April 6, 2026,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17"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On May 14,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Company entered into a credit agreement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with JPMorgan Chase Bank, N.A., as administrative agent and collateral agent (in such capacities,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and the lenders party thereto. The Credit Agreement provides for a five-year, $1.0 billion senior secured revolving credit facility (the “</w:t>
      </w:r>
      <w:r>
        <w:rPr>
          <w:rFonts w:ascii="Times New Roman" w:cs="Times New Roman" w:eastAsia="Times New Roman" w:hAnsi="Times New Roman"/>
          <w:sz w:val="18"/>
          <w:szCs w:val="18"/>
          <w:b w:val="1"/>
          <w:bCs w:val="1"/>
          <w:i w:val="1"/>
          <w:iCs w:val="1"/>
          <w:color w:val="auto"/>
        </w:rPr>
        <w:t>Revolving Credit Facility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Interest rates under the Revolving Credit Facility are variable and equal to, at the Company’s option, (i) Term SOFR (as defined in the Credit Agreement), plus a margin of 1.125% to 1.75% per annum, or (ii) an alternate base rate plus a margin of 0.125% to 0.75% per annum, in each case based on the lower of the applicable rates determined by reference to the Company’s total secured net leverage ratio and credit ratings from time to time.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7" w:right="479" w:bottom="1440" w:gutter="0" w:footer="0" w:header="0"/>
        </w:sectPr>
      </w:pPr>
    </w:p>
    <w:bookmarkStart w:id="3" w:name="page4"/>
    <w:bookmarkEnd w:id="3"/>
    <w:p>
      <w:pPr>
        <w:jc w:val="both"/>
        <w:ind w:left="4"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will pay customary agency fees and a commitment fee based on the daily unused portion of the Revolving Credit Facility at a rate of 0.10% to 0.25% per annum based on the lower of the applicable rates determined by reference to the Company’s secured net leverage ratio and credit ratings from time to time. The Revolving Credit Facility is not subject to amortization and will mature on the fifth anniversary of the Closing Date.</w:t>
      </w:r>
    </w:p>
    <w:p>
      <w:pPr>
        <w:spacing w:after="0" w:line="158"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pledge and security agreement, pursuant to which the Company granted to the Agent, for the benefit of the lenders under the Credit Agreement, a security interest in substantially all of its assets, subject to customary exceptions and exclusions. Any material domestic subsidiaries of the Company in existence from time to time will be required to guarantee the Company’s obligations under the Credit Agreement and grant to the Agent, for the benefit of the lenders, a security interest in substantially all of their assets, subject to customary exceptions and exclusions.</w:t>
      </w:r>
    </w:p>
    <w:p>
      <w:pPr>
        <w:spacing w:after="0" w:line="183"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affirmative covenants, negative covenants and events of default. The Credit Agreement also contains financial covenants that are tested on the last day of each of the Company’s fiscal quarters. These financial covenants include (x) a maximum total net leverage ratio of 3.75:1.00 (which may, at the Company’s election, increase to 4.25:1.00 for certain periods following certain material acquisitions or investments by the Company), and (y) a minimum consolidated interest coverage ratio of 2.00:1.00. On the Closing Date, the Company made an initial borrowing of $600.0 million under the Revolving Credit Facility.</w:t>
      </w:r>
    </w:p>
    <w:p>
      <w:pPr>
        <w:spacing w:after="0" w:line="183"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subject to, and qualified in its entirety by reference to, the full text of the Credit Agreement, attached hereto as Exhibit 10.1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On May 18, 2026, the Company issued a press release announcing the closing of the Merger, a copy of which is attached as Exhibit 99.1 to this Report and incorporated by reference herein.</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hereto, shall not be deemed to be “filed” for the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and will not be incorporated by reference into any other filing by the Company under the Securities Act of 1933, as amended, or the Exchange Act, whether made before or after the date hereof, regardless of any general incorporation language in such filing, unless specifically identified as being incorporated therein by reference. This Report will not be deemed an admission as to the materiality of any information in this Item 7.01 or Exhibit 99.1.</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or funds acquired.</w:t>
      </w:r>
    </w:p>
    <w:p>
      <w:pPr>
        <w:spacing w:after="0" w:line="117"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file the financial statements required by Item 9.01(a) of Form 8-K by an amendment to this Report no later than 71 calendar days after the date on which the initial Current Report on Form 8-K reporting completion of the Merger is required to be filed.</w:t>
      </w:r>
    </w:p>
    <w:p>
      <w:pPr>
        <w:spacing w:after="0" w:line="31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w:t>
      </w:r>
    </w:p>
    <w:p>
      <w:pPr>
        <w:spacing w:after="0" w:line="117"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file the pro forma financial information required by Item 9.01(b) of Form 8-K by an amendment to this Report no later than 71 calendar days after the date on which the initial Current Report on Form 8-K reporting completion of the Merger is required to be filed.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97" w:right="459" w:bottom="1440" w:gutter="0" w:footer="0" w:header="0"/>
        </w:sectPr>
      </w:pPr>
    </w:p>
    <w:bookmarkStart w:id="4" w:name="page5"/>
    <w:bookmarkEnd w:id="4"/>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Exhibits.</w:t>
      </w:r>
    </w:p>
    <w:p>
      <w:pPr>
        <w:sectPr>
          <w:pgSz w:w="11900" w:h="16838" w:orient="portrait"/>
          <w:cols w:equalWidth="0" w:num="1">
            <w:col w:w="10924"/>
          </w:cols>
          <w:pgMar w:left="436" w:top="297" w:right="539" w:bottom="1440" w:gutter="0" w:footer="0" w:header="0"/>
        </w:sectPr>
      </w:pPr>
    </w:p>
    <w:p>
      <w:pPr>
        <w:spacing w:after="0" w:line="248"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spacing w:after="0" w:line="266" w:lineRule="auto"/>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Agreement and Plan of Merger, dated April 5, 2026, by and among Neurocrine Biosciences, Inc., Sigma Merger Sub, Inc. and Soleno</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Therapeutics, Inc. (incorporated by reference to Exhibit 2.1 to the Current Report on Form 8-K filed by Neurocrine Biosciences, Inc. with</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the Securities and Exchange Commission on April 6, 2026)</w:t>
        </w:r>
        <w:r>
          <w:rPr>
            <w:rFonts w:ascii="Times New Roman" w:cs="Times New Roman" w:eastAsia="Times New Roman" w:hAnsi="Times New Roman"/>
            <w:sz w:val="18"/>
            <w:szCs w:val="18"/>
            <w:color w:val="000000"/>
          </w:rPr>
          <w:t>.</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64" w:space="540"/>
            <w:col w:w="9920"/>
          </w:cols>
          <w:pgMar w:left="436" w:top="297" w:right="539" w:bottom="1440" w:gutter="0" w:footer="0" w:header="0"/>
          <w:type w:val="continuous"/>
        </w:sectPr>
      </w:pPr>
    </w:p>
    <w:tbl>
      <w:tblPr>
        <w:tblLayout w:type="fixed"/>
        <w:tblInd w:w="4"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Credit Agreement, dated May 14, 2026, among Neurocrine Biosciences, Inc., JPMorgan Chase Bank, N.A., as administrative agent, and</w:t>
            </w:r>
          </w:p>
        </w:tc>
      </w:tr>
      <w:tr>
        <w:trPr>
          <w:trHeight w:val="196"/>
        </w:trPr>
        <w:tc>
          <w:tcPr>
            <w:tcW w:w="1000" w:type="dxa"/>
            <w:vAlign w:val="bottom"/>
          </w:tcPr>
          <w:p>
            <w:pPr>
              <w:spacing w:after="0"/>
              <w:rPr>
                <w:sz w:val="17"/>
                <w:szCs w:val="17"/>
                <w:color w:val="auto"/>
              </w:rPr>
            </w:pPr>
          </w:p>
        </w:tc>
        <w:tc>
          <w:tcPr>
            <w:tcW w:w="9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the lenders party thereto.</w:t>
            </w:r>
          </w:p>
        </w:tc>
      </w:tr>
      <w:tr>
        <w:trPr>
          <w:trHeight w:val="20"/>
        </w:trPr>
        <w:tc>
          <w:tcPr>
            <w:tcW w:w="10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18, 2026.</w:t>
            </w:r>
          </w:p>
        </w:tc>
        <w:tc>
          <w:tcPr>
            <w:tcW w:w="7240" w:type="dxa"/>
            <w:vAlign w:val="bottom"/>
          </w:tcPr>
          <w:p>
            <w:pPr>
              <w:spacing w:after="0"/>
              <w:rPr>
                <w:sz w:val="24"/>
                <w:szCs w:val="24"/>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rFonts w:ascii="Times New Roman" w:cs="Times New Roman" w:eastAsia="Times New Roman" w:hAnsi="Times New Roman"/>
          <w:sz w:val="18"/>
          <w:szCs w:val="18"/>
          <w:u w:val="single" w:color="auto"/>
          <w:color w:val="0000EE"/>
        </w:rPr>
      </w:pPr>
    </w:p>
    <w:p>
      <w:pPr>
        <w:ind w:left="224" w:right="80"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exhibits or schedules have been omitted pursuant to Item 601(a)(5) of Regulation S-K. The registrant hereby undertakes to furnish supplemental copies of any of the omitted annexes, exhibits and schedules upon request by the U.S. Securities and Exchange Commission.</w:t>
      </w:r>
    </w:p>
    <w:p>
      <w:pPr>
        <w:spacing w:after="0" w:line="94" w:lineRule="exact"/>
        <w:rPr>
          <w:rFonts w:ascii="Times New Roman" w:cs="Times New Roman" w:eastAsia="Times New Roman" w:hAnsi="Times New Roman"/>
          <w:sz w:val="18"/>
          <w:szCs w:val="18"/>
          <w:u w:val="single" w:color="auto"/>
          <w:color w:val="0000EE"/>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97" w:right="539" w:bottom="1440" w:gutter="0" w:footer="0" w:header="0"/>
          <w:type w:val="continuous"/>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18, 2026</w:t>
      </w:r>
      <w:r>
        <w:rPr>
          <w:sz w:val="20"/>
          <w:szCs w:val="20"/>
          <w:color w:val="auto"/>
        </w:rPr>
        <w:tab/>
      </w:r>
      <w:r>
        <w:rPr>
          <w:rFonts w:ascii="Times New Roman" w:cs="Times New Roman" w:eastAsia="Times New Roman" w:hAnsi="Times New Roman"/>
          <w:sz w:val="17"/>
          <w:szCs w:val="17"/>
          <w:color w:val="auto"/>
        </w:rPr>
        <w:t>/s/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Darin M. Lippoldt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440" w:top="293"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173990</wp:posOffset>
            </wp:positionV>
            <wp:extent cx="1680210"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6802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May 14, 2026</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NEUROCRINE BIOSCIENCES,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Borrower,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180340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222885</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JPMORGAN CHASE BANK, N.A., BANK OF AMERICA, N.A., CITIBANK, N.A., GOLDMAN SACHS BANK USA and WELLS FARGO BANK, NATIONAL ASSOCIATION,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Joint Lead Arrangers, Joint Bookrunners and Co-Syndication Agents,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40"/>
        <w:spacing w:after="0" w:line="312" w:lineRule="auto"/>
        <w:rPr>
          <w:sz w:val="20"/>
          <w:szCs w:val="20"/>
          <w:color w:val="auto"/>
        </w:rPr>
      </w:pPr>
      <w:r>
        <w:rPr>
          <w:rFonts w:ascii="Times New Roman" w:cs="Times New Roman" w:eastAsia="Times New Roman" w:hAnsi="Times New Roman"/>
          <w:sz w:val="17"/>
          <w:szCs w:val="17"/>
          <w:color w:val="auto"/>
        </w:rPr>
        <w:t>CITIZENS BANK, N.A., DNB BANK ASA, NEW YORK BRANCH, FIFTH THIRD BANK, NATIONAL ASSOCIATION, PNC BANK, NATIONAL ASSOCIATION, THE ROYAL BANK OF CANADA, TRUIST BANK and U.S. BANK NATIONAL ASSOCIATION,</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Co-Documentation Agents</w:t>
      </w:r>
    </w:p>
    <w:p>
      <w:pPr>
        <w:sectPr>
          <w:pgSz w:w="11900" w:h="16838" w:orient="portrait"/>
          <w:cols w:equalWidth="0" w:num="1">
            <w:col w:w="11000"/>
          </w:cols>
          <w:pgMar w:left="460" w:top="11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932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1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Terms Generally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1.04  Accounting Terms; GAAP; Pro Forma Calculations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1.05  Interest Rates; Benchmark Notification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Leverage Ratios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1.08  Limited Conditionality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1.09  Letter of Credit Amounts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1.10  Exchange Rates; Currency Equivalents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Revolving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 Elections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2.09  Termination of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2.18  Payments Generally; Allocations of Proceeds; Pro Rata Treatment; Sharing of Setoffs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Incremental Facilities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Refinancing Facilities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2.23  Extension of Term Loans and Revolving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2.24</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MIRE Event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3.01  Organization; Powers;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9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Properties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0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3.06  Litigation, Environmental and Labor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  Compliance with Laws and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3.17  Security Interest in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3.18  Anti-Corruption Laws and Sanctions and Export Controls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Margin Regulations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 Date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5.05  Maintenance of Properties;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5.07  Compliance with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5.09  Subsidiary Guarantors; Pledges; Additional Collateral; Further Assurances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Post-Closing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  Investments, Loans, Advances, Guarantees and Acquisitions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Swap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Transactions with Affiliates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Restrictive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6.10  Junior Indebtedness and Amendments to Junior Indebtedness Documents and Organizational Documents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6.11  Sale and Leaseback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0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Remedies Upon an Event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9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7.03  Application of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70"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0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  Authorization and Action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8.02  Administrative Agent’s Reliance, Limitation of Liability,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Posting of Communications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The Administrative Agent Individually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  Successor Administrative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  Acknowledgements of Lenders and Issuing Banks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Bidding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8.09  Certain ERISA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Borrower Communications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0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 Amendments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9.03  Expenses; Limitation of Liability; Indemnity,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9.08  Right of Setoff</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9.13  USA PATRIOT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9.14  Releases of Subsidiary Guarantors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9.15  Appointment for Perfection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9.16  Interest Rate Limitation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9.17  No Fiduciary Duty,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9.18  Acknowledgement and Consent to Bail-In of Affected Financial Institutions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9.19  Acknowledgement Regarding Any Supported QFCs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 Consent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9.21</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Borrower Guarantee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365"/>
        </w:trPr>
        <w:tc>
          <w:tcPr>
            <w:tcW w:w="1340" w:type="dxa"/>
            <w:vAlign w:val="bottom"/>
          </w:tcPr>
          <w:p>
            <w:pPr>
              <w:spacing w:after="0"/>
              <w:rPr>
                <w:sz w:val="24"/>
                <w:szCs w:val="24"/>
                <w:color w:val="auto"/>
              </w:rPr>
            </w:pPr>
          </w:p>
        </w:tc>
        <w:tc>
          <w:tcPr>
            <w:tcW w:w="744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iii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40" w:top="378"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0" w:type="dxa"/>
            <w:vAlign w:val="bottom"/>
            <w:gridSpan w:val="3"/>
          </w:tcPr>
          <w:p>
            <w:pPr>
              <w:jc w:val="center"/>
              <w:ind w:left="2150"/>
              <w:spacing w:after="0"/>
              <w:rPr>
                <w:sz w:val="20"/>
                <w:szCs w:val="20"/>
                <w:color w:val="auto"/>
              </w:rPr>
            </w:pPr>
            <w:r>
              <w:rPr>
                <w:rFonts w:ascii="Times New Roman" w:cs="Times New Roman" w:eastAsia="Times New Roman" w:hAnsi="Times New Roman"/>
                <w:sz w:val="18"/>
                <w:szCs w:val="18"/>
                <w:color w:val="auto"/>
                <w:w w:val="99"/>
              </w:rPr>
              <w:t>Schedules and Exhibits</w:t>
            </w:r>
          </w:p>
        </w:tc>
      </w:tr>
      <w:tr>
        <w:trPr>
          <w:trHeight w:val="439"/>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r>
      <w:tr>
        <w:trPr>
          <w:trHeight w:val="4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2.01A</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Commitments</w:t>
            </w:r>
          </w:p>
        </w:tc>
      </w:tr>
      <w:tr>
        <w:trPr>
          <w:trHeight w:val="229"/>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2.01B</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Letter of Credit Commitments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3.01</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3.07(b)</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Healthcare and Regulatory Matters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Existing Exclusive Licenses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6.05(q)</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6.05(gg)</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Designated Property</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39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4"/>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660" w:type="dxa"/>
            <w:vAlign w:val="bottom"/>
            <w:gridSpan w:val="2"/>
          </w:tcPr>
          <w:p>
            <w:pPr>
              <w:spacing w:after="0"/>
              <w:rPr>
                <w:sz w:val="24"/>
                <w:szCs w:val="24"/>
                <w:color w:val="auto"/>
              </w:rPr>
            </w:pP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Guaranty</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List of Closing Documents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F-1</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U.S. Tax Certificate (Foreign Lenders That Are Not Partnerships)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F-2</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Form of U.S. Tax Certificate (Foreign Participants That Are Not Partnerships)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F-3</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U.S. Tax Certificate (Foreign Participants That Are Partnerships)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F-4</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U.S. Tax Certificate (Foreign Lenders That Are Partnerships)</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G-1</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G-2</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5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36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iv</w:t>
            </w:r>
          </w:p>
        </w:tc>
      </w:tr>
    </w:tbl>
    <w:p>
      <w:pPr>
        <w:jc w:val="center"/>
        <w:ind w:right="92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14, 2026 among NEUROCRINE BIOSCIENCES, INC., a Delaware corporation, the Lenders from time to time party hereto and JPMORGAN CHASE BANK, N.A., as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such Loan, or the Loans comprising such Borrowing, bearing interest at a rate determined by reference to the Alternate Base Rate.</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Loan Party Consolidated EBITDA Percentage</w:t>
      </w:r>
      <w:r>
        <w:rPr>
          <w:rFonts w:ascii="Times New Roman" w:cs="Times New Roman" w:eastAsia="Times New Roman" w:hAnsi="Times New Roman"/>
          <w:sz w:val="18"/>
          <w:szCs w:val="18"/>
          <w:color w:val="auto"/>
        </w:rPr>
        <w:t>” means, with respect to any Permitted Acquisition, expressed as a percentage, (a) the Consolidated EBITDA acquired in such Permitted Acquisition generated by persons that will become Loan Parties or assets that will become owned by Loan Parties divided by (b) the total Consolidated EBITDA acquired in such Permitted Acquisition, in each case as determined on the date of consummation of such Permitted Acquisition (or, in the case of any such Permitted Acquisition that is a Limited Conditionality Transaction, on the date that the definitive agreement for such Permitted Acquisition is entered into).</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Product</w:t>
      </w:r>
      <w:r>
        <w:rPr>
          <w:rFonts w:ascii="Times New Roman" w:cs="Times New Roman" w:eastAsia="Times New Roman" w:hAnsi="Times New Roman"/>
          <w:sz w:val="18"/>
          <w:szCs w:val="18"/>
          <w:color w:val="auto"/>
        </w:rPr>
        <w:t>” means any Product and/or related Intellectual Property acquired or licensed by a Loan Party or any Subsidiary from a Third Party to facilitate the advertisement, design, development, importing, manufacturing, marketing, offering for sale, promotion, sale, testing, use, distribution or supply of such Product by a Loan Party or a Subsidiary.</w:t>
      </w:r>
    </w:p>
    <w:p>
      <w:pPr>
        <w:spacing w:after="0" w:line="17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purchase, inbound license or other acquisition, or option to purchase, license or otherwise acquire, whether through a single transaction or a series of related transactions, of (a) a majority of the Equity Interests, whether by purchase of such Equity Interests or upon the exercise of an option or warrant for, or conversion of securities into, such Equity Interests, of another Person, (b) assets of another Person which constitute all or substantially all of the assets of such Person or of a division, line of business or other business unit of such Person, or (c) assets consisting of an Acquired Product, royalty rights or similar assets of such Person.</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xml:space="preserve">” means the sum of the cash purchase price for any Permitted Acquisition payable in respect of such Permitted Acquisition (and which, for the avoidance of doubt, but subject to the proviso in this definition, shall include purchase price adjustment, royalty, earnout, contingent payment, progress payments, milestone payments or other deferred payment of a similar nature) plus the aggregate amount of Indebtedness (of the type that are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(l) of the definition of “Indebtedness”) assumed on such date in connection with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Acquisition Consideration shall not include any sales-based milestone payments or royalty payments to be made after the closing of any Permitted Acquisition and any future payment that is subject to a contingency shall only be considered Acquisition Consideration up to the amount of the reserve, if any, required under GAAP at the time of such sale to be established in respect thereof by the Borrower or any of its Subsidiaries.</w:t>
      </w:r>
    </w:p>
    <w:p>
      <w:pPr>
        <w:spacing w:after="0" w:line="192" w:lineRule="exact"/>
        <w:rPr>
          <w:sz w:val="20"/>
          <w:szCs w:val="20"/>
          <w:color w:val="auto"/>
        </w:rPr>
      </w:pPr>
    </w:p>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AUD Rate</w:t>
      </w:r>
      <w:r>
        <w:rPr>
          <w:rFonts w:ascii="Times New Roman" w:cs="Times New Roman" w:eastAsia="Times New Roman" w:hAnsi="Times New Roman"/>
          <w:sz w:val="17"/>
          <w:szCs w:val="17"/>
          <w:color w:val="auto"/>
        </w:rPr>
        <w:t xml:space="preserve">” means with respect to any Term Benchmark Borrowing denominated in Australian Dollars for any Interest Period, an interest rate per annum equal to (a) the AUD Rate for such Interest Period multiplied by (b) the Statutory Reserve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Adjusted AUD Rate as so determined would be less than the Floor, such rate shall be deemed to be equal to the Floor for the purposes of this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12" w:name="page13"/>
    <w:bookmarkEnd w:id="12"/>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Adjusted EURIBOR Rate</w:t>
      </w:r>
      <w:r>
        <w:rPr>
          <w:rFonts w:ascii="Times New Roman" w:cs="Times New Roman" w:eastAsia="Times New Roman" w:hAnsi="Times New Roman"/>
          <w:sz w:val="18"/>
          <w:szCs w:val="18"/>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EURIBOR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xml:space="preserve">” means, with respect to any Term Benchmark Borrowing denominated in Yen for any Interest Period, an interest rate per annum equal to (a) the TIBOR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TIBOR Rate as so determined would be less than the Floor, such rate shall be deemed to be equal to the Floor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 its capacity as administrative agent for the Lenders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Dollars and each Alternative Currency.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equal to the greatest of (a) the Prime Rate in effect on such day, (b) the NYFRB Rate in effect on such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(for the avoidance of doubt, only until the Benchmark Replacement has been determined pursuant to </w:t>
      </w:r>
      <w:r>
        <w:rPr>
          <w:rFonts w:ascii="Times New Roman" w:cs="Times New Roman" w:eastAsia="Times New Roman" w:hAnsi="Times New Roman"/>
          <w:sz w:val="17"/>
          <w:szCs w:val="17"/>
          <w:u w:val="single" w:color="auto"/>
          <w:color w:val="auto"/>
        </w:rPr>
        <w:t>Section 2.14(b)</w:t>
      </w:r>
      <w:r>
        <w:rPr>
          <w:rFonts w:ascii="Times New Roman" w:cs="Times New Roman" w:eastAsia="Times New Roman" w:hAnsi="Times New Roman"/>
          <w:sz w:val="17"/>
          <w:szCs w:val="17"/>
          <w:color w:val="auto"/>
        </w:rPr>
        <w:t xml:space="preserve">), then the Alternate Base Rate shall be the greater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and shall be determined without reference to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above. For the avoidance of doubt, if the Alternate Base Rate as determined pursuant to the foregoing would be less than the Floor, such rate shall be deemed to be the Floor for purposes of this Agreement.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Euros, Japanese Yen, Australian Dollars, Singapore Dollars, Pounds Sterling, Swiss Francs and any additional currency determined after the Effective Date by mutual agreement of the Borrower, Lenders, Issuing Banks and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currency is a lawful currency that is readily available, freely transferable and not restricted and able to be converted into Dollars.</w:t>
      </w:r>
    </w:p>
    <w:p>
      <w:pPr>
        <w:spacing w:after="0" w:line="176"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an amount equal to the lesser of (a) $100,000,000 and (b) the total amount of the Revolving Commitments. The Alternative Currency Sublimit is part of, and not in addition to, the Revolving Commitments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 including the U.S. Foreign Corrupt Practices Act of 1977, as amended.</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 with respect to any Lender, with respect to Revolving Loans or LC Exposure, the percentage equal to a fraction the numerator of which is such Lender’s Revolving Commitment and the denominator of which is the aggregate Revolving Commitments of all Lenders (if the Revolving Commitments have been terminated or expired, the Applicable Percentages shall be determined based upon the Revolving Commitments most recently in effect, giving effect to any assignments);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when a Defaulting Lender shall exist, any such Defaulting Lender’s Revolving Commitment shall be disregarded in such calculation and (b) with respect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with respect to any Lender, the percentage equal to a fraction the numerator of which is such Lender’s aggregate Credit Exposure and Unfunded Commitments and the denominator of which is the aggregate Credit Exposure and Unfunded Commitments of all Lenders.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Pledge Percentage</w:t>
      </w:r>
      <w:r>
        <w:rPr>
          <w:rFonts w:ascii="Times New Roman" w:cs="Times New Roman" w:eastAsia="Times New Roman" w:hAnsi="Times New Roman"/>
          <w:sz w:val="18"/>
          <w:szCs w:val="18"/>
          <w:color w:val="auto"/>
        </w:rPr>
        <w:t xml:space="preserve">” means (i) 100% except as otherwise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and (ii) 66%, in the case of a pledge by the Borrower or any Domestic Subsidiary (that is not an Excluded Subsidiary) of its voting Equity Interests in a Foreign Subsidiary treated as a CFC or a Domestic Foreign Holding Company.</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(a) with respect to any ABR Loan, any Term Benchmark Loan or any RFR Loan, the lower of the applicable rates per annum set forth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below, in each case, under the caption “ABR Spread”, “Term Benchmark Spread” or “RFR Spread”, as the case may be, based upon the Secured Net Leverage Ratio and the Specified Ratings applicable on such date and (b) with respect to the Commitment Fee payable hereunder, the lower of the applicable rates per annum set forth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below, in each case, under the caption “Commitment Fee Rate”, based upon the Secured Net Leverage Ratio and the Specified Ratings applicable on such date: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a percentage determined in accordance with the Secured Net Leverage Ratio, as set forth in the grid below:</w:t>
      </w:r>
    </w:p>
    <w:p>
      <w:pPr>
        <w:sectPr>
          <w:pgSz w:w="11900" w:h="16838" w:orient="portrait"/>
          <w:cols w:equalWidth="0" w:num="1">
            <w:col w:w="10880"/>
          </w:cols>
          <w:pgMar w:left="440" w:top="270" w:right="5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u w:val="single" w:color="auto"/>
          <w:color w:val="auto"/>
        </w:rPr>
        <w:t>Secured Net Leverage Ratio</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Category 1</w:t>
      </w:r>
    </w:p>
    <w:p>
      <w:pPr>
        <w:spacing w:after="0" w:line="7" w:lineRule="exact"/>
        <w:rPr>
          <w:sz w:val="20"/>
          <w:szCs w:val="20"/>
          <w:color w:val="auto"/>
        </w:rPr>
      </w:pPr>
    </w:p>
    <w:p>
      <w:pPr>
        <w:jc w:val="both"/>
        <w:ind w:left="880" w:right="3280"/>
        <w:spacing w:after="0" w:line="258" w:lineRule="auto"/>
        <w:tabs>
          <w:tab w:leader="none" w:pos="10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to 1 </w:t>
      </w:r>
      <w:r>
        <w:rPr>
          <w:rFonts w:ascii="Times New Roman" w:cs="Times New Roman" w:eastAsia="Times New Roman" w:hAnsi="Times New Roman"/>
          <w:sz w:val="18"/>
          <w:szCs w:val="18"/>
          <w:u w:val="single" w:color="auto"/>
          <w:color w:val="auto"/>
        </w:rPr>
        <w:t>Category 2</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 1.50 to 1 but</w:t>
      </w:r>
    </w:p>
    <w:p>
      <w:pPr>
        <w:spacing w:after="0" w:line="9" w:lineRule="exact"/>
        <w:rPr>
          <w:rFonts w:ascii="Times New Roman" w:cs="Times New Roman" w:eastAsia="Times New Roman" w:hAnsi="Times New Roman"/>
          <w:sz w:val="18"/>
          <w:szCs w:val="18"/>
          <w:color w:val="auto"/>
        </w:rPr>
      </w:pPr>
    </w:p>
    <w:p>
      <w:pPr>
        <w:ind w:left="880" w:right="3120"/>
        <w:spacing w:after="0" w:line="263" w:lineRule="auto"/>
        <w:tabs>
          <w:tab w:leader="none" w:pos="10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2.50 to 1 </w:t>
      </w:r>
      <w:r>
        <w:rPr>
          <w:rFonts w:ascii="Times New Roman" w:cs="Times New Roman" w:eastAsia="Times New Roman" w:hAnsi="Times New Roman"/>
          <w:sz w:val="18"/>
          <w:szCs w:val="18"/>
          <w:u w:val="single" w:color="auto"/>
          <w:color w:val="auto"/>
        </w:rPr>
        <w:t xml:space="preserve">Category 3 </w:t>
      </w:r>
      <w:r>
        <w:rPr>
          <w:rFonts w:ascii="Times New Roman" w:cs="Times New Roman" w:eastAsia="Times New Roman" w:hAnsi="Times New Roman"/>
          <w:sz w:val="18"/>
          <w:szCs w:val="18"/>
          <w:color w:val="auto"/>
        </w:rPr>
        <w:t>&gt; 2.50 to 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700" w:type="dxa"/>
            <w:vAlign w:val="bottom"/>
            <w:gridSpan w:val="2"/>
          </w:tcPr>
          <w:p>
            <w:pPr>
              <w:jc w:val="center"/>
              <w:ind w:left="595"/>
              <w:spacing w:after="0"/>
              <w:rPr>
                <w:sz w:val="20"/>
                <w:szCs w:val="20"/>
                <w:color w:val="auto"/>
              </w:rPr>
            </w:pPr>
            <w:r>
              <w:rPr>
                <w:rFonts w:ascii="Times New Roman" w:cs="Times New Roman" w:eastAsia="Times New Roman" w:hAnsi="Times New Roman"/>
                <w:sz w:val="14"/>
                <w:szCs w:val="14"/>
                <w:color w:val="auto"/>
              </w:rPr>
              <w:t>Term Benchmark</w:t>
            </w: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ABR Spread</w:t>
            </w:r>
          </w:p>
        </w:tc>
        <w:tc>
          <w:tcPr>
            <w:tcW w:w="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Spread and RFR</w:t>
            </w:r>
          </w:p>
        </w:tc>
        <w:tc>
          <w:tcPr>
            <w:tcW w:w="700" w:type="dxa"/>
            <w:vAlign w:val="bottom"/>
            <w:vMerge w:val="restart"/>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Commitment Fee Rate</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Spread</w:t>
            </w:r>
          </w:p>
        </w:tc>
        <w:tc>
          <w:tcPr>
            <w:tcW w:w="70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170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98"/>
              </w:rPr>
              <w:t>1.25%</w:t>
            </w:r>
          </w:p>
        </w:tc>
        <w:tc>
          <w:tcPr>
            <w:tcW w:w="20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54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70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98"/>
              </w:rPr>
              <w:t>1.50%</w:t>
            </w:r>
          </w:p>
        </w:tc>
        <w:tc>
          <w:tcPr>
            <w:tcW w:w="20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0.20%</w:t>
            </w:r>
          </w:p>
        </w:tc>
        <w:tc>
          <w:tcPr>
            <w:tcW w:w="0" w:type="dxa"/>
            <w:vAlign w:val="bottom"/>
          </w:tcPr>
          <w:p>
            <w:pPr>
              <w:spacing w:after="0"/>
              <w:rPr>
                <w:sz w:val="1"/>
                <w:szCs w:val="1"/>
                <w:color w:val="auto"/>
              </w:rPr>
            </w:pPr>
          </w:p>
        </w:tc>
      </w:tr>
      <w:tr>
        <w:trPr>
          <w:trHeight w:val="55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70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98"/>
              </w:rPr>
              <w:t>1.75%</w:t>
            </w:r>
          </w:p>
        </w:tc>
        <w:tc>
          <w:tcPr>
            <w:tcW w:w="20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-908050</wp:posOffset>
            </wp:positionV>
            <wp:extent cx="587184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871845" cy="283210"/>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-205105</wp:posOffset>
            </wp:positionV>
            <wp:extent cx="5871845"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871845" cy="28321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4960" w:space="720"/>
            <w:col w:w="5200"/>
          </w:cols>
          <w:pgMar w:left="440" w:top="270" w:right="579" w:bottom="1440" w:gutter="0" w:footer="0" w:header="0"/>
          <w:type w:val="continuous"/>
        </w:sectPr>
      </w:pPr>
    </w:p>
    <w:p>
      <w:pPr>
        <w:ind w:left="980" w:firstLine="408"/>
        <w:spacing w:after="0" w:line="255" w:lineRule="auto"/>
        <w:tabs>
          <w:tab w:leader="none" w:pos="167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Borrower fails to deliver Financials on or before the date the Financials are due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Category 3 above shall be deemed applicable for the period commencing three Business Days after the required date of delivery and ending on the date which is three Business Days after such Financials are actually delivered, after which the applicable Category shall be determined in accordance with the table above. Adjustments, if any, to the Applicable Rate as a result of a change in the Secured Net Leverage Ratio shall be effective three Business Days after the Administrative Agent has received the applicable Financials (the “</w:t>
      </w:r>
      <w:r>
        <w:rPr>
          <w:rFonts w:ascii="Times New Roman" w:cs="Times New Roman" w:eastAsia="Times New Roman" w:hAnsi="Times New Roman"/>
          <w:sz w:val="18"/>
          <w:szCs w:val="18"/>
          <w:u w:val="single" w:color="auto"/>
          <w:color w:val="auto"/>
        </w:rPr>
        <w:t>Leverage-Based Adjustment Date</w:t>
      </w:r>
      <w:r>
        <w:rPr>
          <w:rFonts w:ascii="Times New Roman" w:cs="Times New Roman" w:eastAsia="Times New Roman" w:hAnsi="Times New Roman"/>
          <w:sz w:val="18"/>
          <w:szCs w:val="18"/>
          <w:color w:val="auto"/>
        </w:rPr>
        <w:t>”) and shall remain in effect until the earlier of the next Leverage-Based Adjustment Date and the next Ratings-Based Adjustment Date; and</w:t>
      </w:r>
    </w:p>
    <w:p>
      <w:pPr>
        <w:spacing w:after="0" w:line="80" w:lineRule="exact"/>
        <w:rPr>
          <w:rFonts w:ascii="Times New Roman" w:cs="Times New Roman" w:eastAsia="Times New Roman" w:hAnsi="Times New Roman"/>
          <w:sz w:val="18"/>
          <w:szCs w:val="18"/>
          <w:color w:val="auto"/>
        </w:rPr>
      </w:pPr>
    </w:p>
    <w:p>
      <w:pPr>
        <w:ind w:left="980" w:right="20" w:firstLine="408"/>
        <w:spacing w:after="0" w:line="268" w:lineRule="auto"/>
        <w:tabs>
          <w:tab w:leader="none" w:pos="1666"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it is determined that the Financials upon which the Applicable Rate was determined were incorrect (whether based on a restatement, fraud or otherwise), the Borrower shall be required to retroactively pay any additional amount that the Borrower would have been required to pay if such Financials had been accurate at the time they were delivered;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additional amount shall be due and payable within thirty (30) calendar days after written notice by the Administrative Agent to the Borrower (which notice shall include a reasonably detailed calculation of such additional amount) and (ii) non-payment of any such additional amount shall not constitute a Default or Event of Default (whether retroactively or otherwise), and no such amounts shall be deemed overdue (and no amounts shall accrue interest at the applicable default rate set forth in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 at any time prior to the date that is thirty</w:t>
      </w:r>
    </w:p>
    <w:p>
      <w:pPr>
        <w:spacing w:after="0" w:line="2" w:lineRule="exact"/>
        <w:rPr>
          <w:rFonts w:ascii="Times New Roman" w:cs="Times New Roman" w:eastAsia="Times New Roman" w:hAnsi="Times New Roman"/>
          <w:sz w:val="17"/>
          <w:szCs w:val="17"/>
          <w:color w:val="auto"/>
        </w:rPr>
      </w:pPr>
    </w:p>
    <w:p>
      <w:pPr>
        <w:ind w:left="1340" w:hanging="353"/>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such written demand to the Borrower; and</w:t>
      </w:r>
    </w:p>
    <w:p>
      <w:pPr>
        <w:spacing w:after="0" w:line="2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determined in accordance with the Specified Ratings, as set forth in the grid below:</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Term Benchmark</w:t>
            </w: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Specified Ratings</w:t>
            </w:r>
          </w:p>
        </w:tc>
        <w:tc>
          <w:tcPr>
            <w:tcW w:w="2040" w:type="dxa"/>
            <w:vAlign w:val="bottom"/>
            <w:vMerge w:val="restart"/>
          </w:tcPr>
          <w:p>
            <w:pPr>
              <w:spacing w:after="0"/>
              <w:rPr>
                <w:sz w:val="12"/>
                <w:szCs w:val="12"/>
                <w:color w:val="auto"/>
              </w:rPr>
            </w:pPr>
          </w:p>
        </w:tc>
        <w:tc>
          <w:tcPr>
            <w:tcW w:w="22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ABR Spread</w:t>
            </w: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Spread and RFR</w:t>
            </w:r>
          </w:p>
        </w:tc>
        <w:tc>
          <w:tcPr>
            <w:tcW w:w="21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Commitment Fee Rate</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gridSpan w:val="2"/>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2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Category 1</w:t>
            </w:r>
          </w:p>
        </w:tc>
        <w:tc>
          <w:tcPr>
            <w:tcW w:w="23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Baa1 from Moody’s</w:t>
            </w:r>
          </w:p>
        </w:tc>
        <w:tc>
          <w:tcPr>
            <w:tcW w:w="2220" w:type="dxa"/>
            <w:vAlign w:val="bottom"/>
            <w:gridSpan w:val="2"/>
            <w:shd w:val="clear" w:color="auto" w:fill="CCEEFF"/>
          </w:tcPr>
          <w:p>
            <w:pPr>
              <w:jc w:val="center"/>
              <w:ind w:left="1333"/>
              <w:spacing w:after="0"/>
              <w:rPr>
                <w:sz w:val="20"/>
                <w:szCs w:val="20"/>
                <w:color w:val="auto"/>
              </w:rPr>
            </w:pPr>
            <w:r>
              <w:rPr>
                <w:rFonts w:ascii="Times New Roman" w:cs="Times New Roman" w:eastAsia="Times New Roman" w:hAnsi="Times New Roman"/>
                <w:sz w:val="18"/>
                <w:szCs w:val="18"/>
                <w:color w:val="auto"/>
              </w:rPr>
              <w:t>0.125%</w:t>
            </w:r>
          </w:p>
        </w:tc>
        <w:tc>
          <w:tcPr>
            <w:tcW w:w="1800" w:type="dxa"/>
            <w:vAlign w:val="bottom"/>
            <w:gridSpan w:val="2"/>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rPr>
              <w:t>1.125%</w:t>
            </w:r>
          </w:p>
        </w:tc>
        <w:tc>
          <w:tcPr>
            <w:tcW w:w="2120" w:type="dxa"/>
            <w:vAlign w:val="bottom"/>
            <w:gridSpan w:val="2"/>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0.10%</w:t>
            </w:r>
          </w:p>
        </w:tc>
        <w:tc>
          <w:tcPr>
            <w:tcW w:w="0" w:type="dxa"/>
            <w:vAlign w:val="bottom"/>
          </w:tcPr>
          <w:p>
            <w:pPr>
              <w:spacing w:after="0"/>
              <w:rPr>
                <w:sz w:val="1"/>
                <w:szCs w:val="1"/>
                <w:color w:val="auto"/>
              </w:rPr>
            </w:pPr>
          </w:p>
        </w:tc>
      </w:tr>
      <w:tr>
        <w:trPr>
          <w:trHeight w:val="24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 BBB+ from S&amp;P</w:t>
            </w:r>
          </w:p>
        </w:tc>
        <w:tc>
          <w:tcPr>
            <w:tcW w:w="1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23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Baa2 from Moody’s</w:t>
            </w:r>
          </w:p>
        </w:tc>
        <w:tc>
          <w:tcPr>
            <w:tcW w:w="2220" w:type="dxa"/>
            <w:vAlign w:val="bottom"/>
            <w:gridSpan w:val="2"/>
          </w:tcPr>
          <w:p>
            <w:pPr>
              <w:jc w:val="center"/>
              <w:ind w:left="1333"/>
              <w:spacing w:after="0"/>
              <w:rPr>
                <w:sz w:val="20"/>
                <w:szCs w:val="20"/>
                <w:color w:val="auto"/>
              </w:rPr>
            </w:pPr>
            <w:r>
              <w:rPr>
                <w:rFonts w:ascii="Times New Roman" w:cs="Times New Roman" w:eastAsia="Times New Roman" w:hAnsi="Times New Roman"/>
                <w:sz w:val="18"/>
                <w:szCs w:val="18"/>
                <w:color w:val="auto"/>
              </w:rPr>
              <w:t>0.25%</w:t>
            </w:r>
          </w:p>
        </w:tc>
        <w:tc>
          <w:tcPr>
            <w:tcW w:w="180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8"/>
              </w:rPr>
              <w:t>1.25%</w:t>
            </w:r>
          </w:p>
        </w:tc>
        <w:tc>
          <w:tcPr>
            <w:tcW w:w="212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23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BBB from S&amp;P</w:t>
            </w: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Category 3</w:t>
            </w:r>
          </w:p>
        </w:tc>
        <w:tc>
          <w:tcPr>
            <w:tcW w:w="2320" w:type="dxa"/>
            <w:vAlign w:val="bottom"/>
            <w:tcBorders>
              <w:bottom w:val="single" w:sz="8" w:color="CCEEFF"/>
            </w:tcBorders>
            <w:gridSpan w:val="2"/>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Baa3 from Moody’s</w:t>
            </w:r>
          </w:p>
        </w:tc>
        <w:tc>
          <w:tcPr>
            <w:tcW w:w="2220" w:type="dxa"/>
            <w:vAlign w:val="bottom"/>
            <w:gridSpan w:val="2"/>
            <w:shd w:val="clear" w:color="auto" w:fill="CCEEFF"/>
          </w:tcPr>
          <w:p>
            <w:pPr>
              <w:jc w:val="center"/>
              <w:ind w:left="1333"/>
              <w:spacing w:after="0"/>
              <w:rPr>
                <w:sz w:val="20"/>
                <w:szCs w:val="20"/>
                <w:color w:val="auto"/>
              </w:rPr>
            </w:pPr>
            <w:r>
              <w:rPr>
                <w:rFonts w:ascii="Times New Roman" w:cs="Times New Roman" w:eastAsia="Times New Roman" w:hAnsi="Times New Roman"/>
                <w:sz w:val="18"/>
                <w:szCs w:val="18"/>
                <w:color w:val="auto"/>
              </w:rPr>
              <w:t>0.375%</w:t>
            </w:r>
          </w:p>
        </w:tc>
        <w:tc>
          <w:tcPr>
            <w:tcW w:w="1800" w:type="dxa"/>
            <w:vAlign w:val="bottom"/>
            <w:gridSpan w:val="2"/>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rPr>
              <w:t>1.375%</w:t>
            </w:r>
          </w:p>
        </w:tc>
        <w:tc>
          <w:tcPr>
            <w:tcW w:w="2120" w:type="dxa"/>
            <w:vAlign w:val="bottom"/>
            <w:gridSpan w:val="2"/>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0.15%</w:t>
            </w:r>
          </w:p>
        </w:tc>
        <w:tc>
          <w:tcPr>
            <w:tcW w:w="0" w:type="dxa"/>
            <w:vAlign w:val="bottom"/>
          </w:tcPr>
          <w:p>
            <w:pPr>
              <w:spacing w:after="0"/>
              <w:rPr>
                <w:sz w:val="1"/>
                <w:szCs w:val="1"/>
                <w:color w:val="auto"/>
              </w:rPr>
            </w:pPr>
          </w:p>
        </w:tc>
      </w:tr>
      <w:tr>
        <w:trPr>
          <w:trHeight w:val="24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BBB- from S&amp;P</w:t>
            </w:r>
          </w:p>
        </w:tc>
        <w:tc>
          <w:tcPr>
            <w:tcW w:w="1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4</w:t>
            </w:r>
          </w:p>
        </w:tc>
        <w:tc>
          <w:tcPr>
            <w:tcW w:w="23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Ba1 from Moody’s</w:t>
            </w:r>
          </w:p>
        </w:tc>
        <w:tc>
          <w:tcPr>
            <w:tcW w:w="2220" w:type="dxa"/>
            <w:vAlign w:val="bottom"/>
            <w:gridSpan w:val="2"/>
          </w:tcPr>
          <w:p>
            <w:pPr>
              <w:jc w:val="center"/>
              <w:ind w:left="1333"/>
              <w:spacing w:after="0"/>
              <w:rPr>
                <w:sz w:val="20"/>
                <w:szCs w:val="20"/>
                <w:color w:val="auto"/>
              </w:rPr>
            </w:pPr>
            <w:r>
              <w:rPr>
                <w:rFonts w:ascii="Times New Roman" w:cs="Times New Roman" w:eastAsia="Times New Roman" w:hAnsi="Times New Roman"/>
                <w:sz w:val="18"/>
                <w:szCs w:val="18"/>
                <w:color w:val="auto"/>
              </w:rPr>
              <w:t>0.625%</w:t>
            </w:r>
          </w:p>
        </w:tc>
        <w:tc>
          <w:tcPr>
            <w:tcW w:w="1800" w:type="dxa"/>
            <w:vAlign w:val="bottom"/>
            <w:gridSpan w:val="2"/>
          </w:tcPr>
          <w:p>
            <w:pPr>
              <w:jc w:val="center"/>
              <w:ind w:left="633"/>
              <w:spacing w:after="0"/>
              <w:rPr>
                <w:sz w:val="20"/>
                <w:szCs w:val="20"/>
                <w:color w:val="auto"/>
              </w:rPr>
            </w:pPr>
            <w:r>
              <w:rPr>
                <w:rFonts w:ascii="Times New Roman" w:cs="Times New Roman" w:eastAsia="Times New Roman" w:hAnsi="Times New Roman"/>
                <w:sz w:val="18"/>
                <w:szCs w:val="18"/>
                <w:color w:val="auto"/>
              </w:rPr>
              <w:t>1.625%</w:t>
            </w:r>
          </w:p>
        </w:tc>
        <w:tc>
          <w:tcPr>
            <w:tcW w:w="2120" w:type="dxa"/>
            <w:vAlign w:val="bottom"/>
            <w:gridSpan w:val="2"/>
          </w:tcPr>
          <w:p>
            <w:pPr>
              <w:jc w:val="center"/>
              <w:ind w:left="613"/>
              <w:spacing w:after="0"/>
              <w:rPr>
                <w:sz w:val="20"/>
                <w:szCs w:val="20"/>
                <w:color w:val="auto"/>
              </w:rPr>
            </w:pPr>
            <w:r>
              <w:rPr>
                <w:rFonts w:ascii="Times New Roman" w:cs="Times New Roman" w:eastAsia="Times New Roman" w:hAnsi="Times New Roman"/>
                <w:sz w:val="18"/>
                <w:szCs w:val="18"/>
                <w:color w:val="auto"/>
                <w:w w:val="98"/>
              </w:rPr>
              <w:t>0.20%</w:t>
            </w:r>
          </w:p>
        </w:tc>
        <w:tc>
          <w:tcPr>
            <w:tcW w:w="0" w:type="dxa"/>
            <w:vAlign w:val="bottom"/>
          </w:tcPr>
          <w:p>
            <w:pPr>
              <w:spacing w:after="0"/>
              <w:rPr>
                <w:sz w:val="1"/>
                <w:szCs w:val="1"/>
                <w:color w:val="auto"/>
              </w:rPr>
            </w:pPr>
          </w:p>
        </w:tc>
      </w:tr>
      <w:tr>
        <w:trPr>
          <w:trHeight w:val="23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BB+ from S&amp;P</w:t>
            </w: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Category 5</w:t>
            </w:r>
          </w:p>
        </w:tc>
        <w:tc>
          <w:tcPr>
            <w:tcW w:w="2320" w:type="dxa"/>
            <w:vAlign w:val="bottom"/>
            <w:tcBorders>
              <w:bottom w:val="single" w:sz="8" w:color="CCEEFF"/>
            </w:tcBorders>
            <w:gridSpan w:val="2"/>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 Ba1 from Moody’s</w:t>
            </w:r>
          </w:p>
        </w:tc>
        <w:tc>
          <w:tcPr>
            <w:tcW w:w="2220" w:type="dxa"/>
            <w:vAlign w:val="bottom"/>
            <w:gridSpan w:val="2"/>
            <w:shd w:val="clear" w:color="auto" w:fill="CCEEFF"/>
          </w:tcPr>
          <w:p>
            <w:pPr>
              <w:jc w:val="center"/>
              <w:ind w:left="1333"/>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gridSpan w:val="2"/>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1.75%</w:t>
            </w:r>
          </w:p>
        </w:tc>
        <w:tc>
          <w:tcPr>
            <w:tcW w:w="2120" w:type="dxa"/>
            <w:vAlign w:val="bottom"/>
            <w:gridSpan w:val="2"/>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48"/>
        </w:trPr>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&lt; BB+ from S&amp;P</w:t>
            </w:r>
          </w:p>
        </w:tc>
        <w:tc>
          <w:tcPr>
            <w:tcW w:w="1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70" w:right="579" w:bottom="1440" w:gutter="0" w:footer="0" w:header="0"/>
          <w:type w:val="continuous"/>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the foregoing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in the event the Specified Rating assigned by Moody’s is not equivalent to the Specified Rating assigned by S&amp;P, the Category corresponding to the higher of the two Specified Ratings shall be deemed applicable, unless the Specified Ratings are two or more levels apart, in which case the Category corresponding to the Specified Rating immediately below the higher of the two Specified Ratings shall be deemed applicable. In the event either Moody’s or S&amp;P shall cease to assign a Specified Rating, then Category 5 above shall be deemed applicable with respect to the applicable rating agency for the period commencing three Business Days after such rating agency ceases to assign a Specified Rating. Adjustments, if any, to the Applicable Rate as a result of a change in any Specified Rating assigned by Moody’s and/or S&amp;P shall become effective three Business Days after the date of announcement or publication by the Borrower or either rating agency of any change in the Specified Ratings or, in the absence of such announcement or publication, three Business Days after the effective date of such change in the Specified Ratings (the “</w:t>
      </w:r>
      <w:r>
        <w:rPr>
          <w:rFonts w:ascii="Times New Roman" w:cs="Times New Roman" w:eastAsia="Times New Roman" w:hAnsi="Times New Roman"/>
          <w:sz w:val="18"/>
          <w:szCs w:val="18"/>
          <w:u w:val="single" w:color="auto"/>
          <w:color w:val="auto"/>
        </w:rPr>
        <w:t>Ratings-Based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the Applicable Rate shall be based on Category 1 of the table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until the Administrative Agent’s receipt of the applicable Financials for the Borrower’s second full fiscal quarter ending after the Effective Date.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JPMorgan Chase Bank, N.A., Bank of America, N.A., Citibank, N.A., Goldman Sachs Bank USA and Wells Fargo Bank, National Association, each in its capacity as a joint bookrunner, joint lead arranger and co-syndication agent hereunder.</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 Rate</w:t>
      </w:r>
      <w:r>
        <w:rPr>
          <w:rFonts w:ascii="Times New Roman" w:cs="Times New Roman" w:eastAsia="Times New Roman" w:hAnsi="Times New Roman"/>
          <w:sz w:val="18"/>
          <w:szCs w:val="18"/>
          <w:color w:val="auto"/>
        </w:rPr>
        <w:t>” means with respect to any Term Benchmark Borrowing denominated in Australian Dollars and for any Interest Period, the AUD Screen Rate on the day of the commencement of such Interest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6" w:name="page17"/>
    <w:bookmarkEnd w:id="16"/>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AUD Screen Rate</w:t>
      </w:r>
      <w:r>
        <w:rPr>
          <w:rFonts w:ascii="Times New Roman" w:cs="Times New Roman" w:eastAsia="Times New Roman" w:hAnsi="Times New Roman"/>
          <w:sz w:val="18"/>
          <w:szCs w:val="18"/>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date that is two Business Days prior to the first day of such Interest Period.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AU$</w:t>
      </w:r>
      <w:r>
        <w:rPr>
          <w:rFonts w:ascii="Times New Roman" w:cs="Times New Roman" w:eastAsia="Times New Roman" w:hAnsi="Times New Roman"/>
          <w:sz w:val="18"/>
          <w:szCs w:val="18"/>
          <w:color w:val="auto"/>
        </w:rPr>
        <w:t>” means the lawful currency of the Commonwealth of Australia.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an amount not less than zero, equal to:</w:t>
      </w:r>
    </w:p>
    <w:p>
      <w:pPr>
        <w:spacing w:after="0" w:line="117" w:lineRule="exact"/>
        <w:rPr>
          <w:sz w:val="20"/>
          <w:szCs w:val="20"/>
          <w:color w:val="auto"/>
        </w:rPr>
      </w:pPr>
    </w:p>
    <w:p>
      <w:pPr>
        <w:ind w:firstLine="436"/>
        <w:spacing w:after="0" w:line="312" w:lineRule="auto"/>
        <w:tabs>
          <w:tab w:leader="none" w:pos="68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Net Proceeds received by the Borrower from or in exchange for the issuance of Equity Interests of the Borrower (other than Disqualified Equity) after the Effective Date and on or prior to such date, to the extent not otherwise applied pursuant to </w:t>
      </w:r>
      <w:r>
        <w:rPr>
          <w:rFonts w:ascii="Times New Roman" w:cs="Times New Roman" w:eastAsia="Times New Roman" w:hAnsi="Times New Roman"/>
          <w:sz w:val="17"/>
          <w:szCs w:val="17"/>
          <w:u w:val="single" w:color="auto"/>
          <w:color w:val="auto"/>
        </w:rPr>
        <w:t>Section 6.05(z)</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plus</w:t>
      </w:r>
    </w:p>
    <w:p>
      <w:pPr>
        <w:spacing w:after="0" w:line="139" w:lineRule="exact"/>
        <w:rPr>
          <w:rFonts w:ascii="Times New Roman" w:cs="Times New Roman" w:eastAsia="Times New Roman" w:hAnsi="Times New Roman"/>
          <w:sz w:val="17"/>
          <w:szCs w:val="17"/>
          <w:color w:val="auto"/>
        </w:rPr>
      </w:pPr>
    </w:p>
    <w:p>
      <w:pPr>
        <w:jc w:val="both"/>
        <w:ind w:right="180" w:firstLine="436"/>
        <w:spacing w:after="0" w:line="26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Consolidated Net Income (which shall not be less than zero in any period) for the period from the first day of the fiscal quarter of the Borrower during which the Effective Date occurred to and including the last day of the most recently ended fiscal quarter of the Borrower prior to such date; </w:t>
      </w:r>
      <w:r>
        <w:rPr>
          <w:rFonts w:ascii="Times New Roman" w:cs="Times New Roman" w:eastAsia="Times New Roman" w:hAnsi="Times New Roman"/>
          <w:sz w:val="18"/>
          <w:szCs w:val="18"/>
          <w:u w:val="single" w:color="auto"/>
          <w:color w:val="auto"/>
        </w:rPr>
        <w:t>minus</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Investments, Restricted Payments and Restricted Debt Payments, in each case, utilizing the Available Amount on or after the Effective Date and on or prior to such date.</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means, at any time with respect to any Lender, the Revolving Commitment of such Lender then in effect minus the Revolving Credit Exposure of such Lender at such time.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the Borrower or any Subsidiary by any Cash Management Bank: (a) credit or debit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Agreement</w:t>
      </w:r>
      <w:r>
        <w:rPr>
          <w:rFonts w:ascii="Times New Roman" w:cs="Times New Roman" w:eastAsia="Times New Roman" w:hAnsi="Times New Roman"/>
          <w:sz w:val="18"/>
          <w:szCs w:val="18"/>
          <w:color w:val="auto"/>
        </w:rPr>
        <w:t>” means any agreement entered into by the Borrower or any Subsidiary in connection with Banking Services.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the Relevant Rate for such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99" w:lineRule="exact"/>
        <w:rPr>
          <w:sz w:val="20"/>
          <w:szCs w:val="20"/>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Daily Simple SOFR; or</w:t>
      </w:r>
    </w:p>
    <w:p>
      <w:pPr>
        <w:spacing w:after="0" w:line="225" w:lineRule="exact"/>
        <w:rPr>
          <w:rFonts w:ascii="Times New Roman" w:cs="Times New Roman" w:eastAsia="Times New Roman" w:hAnsi="Times New Roman"/>
          <w:sz w:val="18"/>
          <w:szCs w:val="18"/>
          <w:color w:val="auto"/>
        </w:rPr>
      </w:pPr>
    </w:p>
    <w:p>
      <w:pPr>
        <w:ind w:right="240" w:firstLine="436"/>
        <w:spacing w:after="0" w:line="25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8" w:name="page19"/>
    <w:bookmarkEnd w:id="18"/>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Benchmark Replacement as determined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(in consultation with the Borrower) that no market practice for the administration of such Benchmark Replacement exists, in such other manner of administration as the Administrative Agent reasonably decides (in consultation with the Borrower) is reasonably necessary in connection with the administration of this Agreement and the other Loan Documents).</w:t>
      </w:r>
    </w:p>
    <w:p>
      <w:pPr>
        <w:spacing w:after="0" w:line="19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firstLine="436"/>
        <w:spacing w:after="0" w:line="26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and even if such Benchmark (or component thereof) or, if such Benchmark is a term rate, any Available Tenor of such Benchmark (or such component thereof) continues to be provided on such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9" w:name="page20"/>
    <w:bookmarkEnd w:id="19"/>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right="60" w:firstLine="436"/>
        <w:spacing w:after="0" w:line="258"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Neurocrine Biosciences, Inc., a Delaware corporation.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a Revolving Loan or (b) an Incremental Term Loan, in each case, of the same Type and Agreed Currency, made, converted or continued on the same date and, in the case of Term Benchmark Loans, as to which a single Interest Period is in effect.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which shall be substantially in the form approved by the Administrative Agent and separately provided to the Borrower.</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or a Sunday) on which banks are open for business in New York City or Chicago;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addition to the foregoing, a Business Day shall be (a) in relation to Loans denominated in Euros and in relation to the calculation or computation of EURIBOR, any day which is a TARGET Day, (b) in relation to Loans denominated in Yen and in relation to the calculation or computation of TIBOR or the Japanese Prime Rate, any day (other than a Saturday or a Sunday) on which banks are open for business in Japan, (c) in relation to Loans denominated in Australian Dollars and in relation to the calculation or computation of BBSY, any day (other than a Saturday or a Sunday) on which banks are open for business in Australia, (d) in relation to RFR Loans and any interest rate settings, fundings, disbursements, settlements or payments of any such RFR Loan, or any other dealings in the applicable Agreed Currency of such RFR Loan, any such day that is a RFR Business Day and (e)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w:t>
      </w:r>
    </w:p>
    <w:p>
      <w:pPr>
        <w:spacing w:after="0" w:line="194"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subject to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 to the extent owned by the Borrower or any of its Subsidiaries:</w:t>
      </w:r>
    </w:p>
    <w:p>
      <w:pPr>
        <w:spacing w:after="0" w:line="117" w:lineRule="exact"/>
        <w:rPr>
          <w:sz w:val="20"/>
          <w:szCs w:val="20"/>
          <w:color w:val="auto"/>
        </w:rPr>
      </w:pPr>
    </w:p>
    <w:p>
      <w:pPr>
        <w:ind w:left="4" w:right="20" w:firstLine="436"/>
        <w:spacing w:after="0" w:line="258"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readily marketable obligations issued or directly and fully guaranteed or insured by the United States or any agency or instrumentality thereof having maturities of not more than two (2) years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 and (ii) readily marketable direct obligations issued by any state, commonwealth or territory of the United States of America or political subdivision or taxing authority thereof that is rated AAA by S&amp;P and Aaa by Moody’s maturing within two (2) years from the date of acquisition thereof;</w:t>
      </w:r>
    </w:p>
    <w:p>
      <w:pPr>
        <w:spacing w:after="0" w:line="183" w:lineRule="exact"/>
        <w:rPr>
          <w:rFonts w:ascii="Times New Roman" w:cs="Times New Roman" w:eastAsia="Times New Roman" w:hAnsi="Times New Roman"/>
          <w:sz w:val="18"/>
          <w:szCs w:val="18"/>
          <w:color w:val="auto"/>
        </w:rPr>
      </w:pPr>
    </w:p>
    <w:p>
      <w:pPr>
        <w:ind w:left="4" w:right="220" w:firstLine="436"/>
        <w:spacing w:after="0" w:line="272"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spacing w:after="0" w:line="1"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the parent of which issues) commercial paper rated as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and (iii) has combined capital and surplus of at least $500,000,000, in each case with maturities of not more than two years from the date of acquisition thereof;</w:t>
      </w:r>
    </w:p>
    <w:p>
      <w:pPr>
        <w:spacing w:after="0" w:line="18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 corporation or other Person rated at least “A-2” or “P-2” or the equivalent thereof by Moody’s or S&amp;P or Fitch (or, if at any time neither Moody’s nor S&amp;P shall be rating such obligations, an equivalent rating from another nationally recognized statistical rating agency) and in each case maturing within two years from the date of acquisition thereof;</w:t>
      </w:r>
    </w:p>
    <w:p>
      <w:pPr>
        <w:spacing w:after="0" w:line="175" w:lineRule="exact"/>
        <w:rPr>
          <w:rFonts w:ascii="Times New Roman" w:cs="Times New Roman" w:eastAsia="Times New Roman" w:hAnsi="Times New Roman"/>
          <w:sz w:val="18"/>
          <w:szCs w:val="18"/>
          <w:color w:val="auto"/>
        </w:rPr>
      </w:pPr>
    </w:p>
    <w:p>
      <w:pPr>
        <w:ind w:left="4" w:right="300" w:firstLine="436"/>
        <w:spacing w:after="0" w:line="261" w:lineRule="auto"/>
        <w:tabs>
          <w:tab w:leader="none" w:pos="6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securities having a rating of at least P-2 or A-2 from either Moody’s or S&amp;P, respectively (or, if at any time neither Moody’s nor S&amp;P shall be rating such obligations, an equivalent rating from another nationally recognized statistical rating agency selected by the Administrative Agent (or any designated representative) and in each case maturing within two years from the date of acquisition thereof;</w:t>
      </w:r>
    </w:p>
    <w:p>
      <w:pPr>
        <w:spacing w:after="0" w:line="179" w:lineRule="exact"/>
        <w:rPr>
          <w:rFonts w:ascii="Times New Roman" w:cs="Times New Roman" w:eastAsia="Times New Roman" w:hAnsi="Times New Roman"/>
          <w:sz w:val="18"/>
          <w:szCs w:val="18"/>
          <w:color w:val="auto"/>
        </w:rPr>
      </w:pPr>
    </w:p>
    <w:p>
      <w:pPr>
        <w:ind w:left="4" w:right="240" w:firstLine="436"/>
        <w:spacing w:after="0" w:line="277" w:lineRule="auto"/>
        <w:tabs>
          <w:tab w:leader="none" w:pos="68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Foreign Subsidiaries, investments of the type and maturities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issued where relevant, by any commercial bank of recognized international standing chartered in the country where such Foreign Subsidiary is domiciled having unimpaired capital and surplus of at least $1,000,000,000, provided such country is a member of the Organization for Economic Cooperation and Development, and such bank maintains a short-term commercial paper rating of at least P-1 or A-1 from either Moody’s or S&amp;P, respectively (or, if at any time neither Moody’s nor S&amp;P shall be rating such obligations, an equivalent rating from another nationally recognized statistical rating agency);</w:t>
      </w:r>
    </w:p>
    <w:p>
      <w:pPr>
        <w:spacing w:after="0" w:line="167" w:lineRule="exact"/>
        <w:rPr>
          <w:rFonts w:ascii="Times New Roman" w:cs="Times New Roman" w:eastAsia="Times New Roman" w:hAnsi="Times New Roman"/>
          <w:sz w:val="17"/>
          <w:szCs w:val="17"/>
          <w:color w:val="auto"/>
        </w:rPr>
      </w:pPr>
    </w:p>
    <w:p>
      <w:pPr>
        <w:ind w:left="664" w:hanging="224"/>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Dollars, Euros, Pounds Sterling, Swiss Francs, Canadian dollars or any national currency of any member state of the European Union or</w:t>
      </w:r>
    </w:p>
    <w:p>
      <w:pPr>
        <w:spacing w:after="0" w:line="27" w:lineRule="exact"/>
        <w:rPr>
          <w:sz w:val="20"/>
          <w:szCs w:val="20"/>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Currency or other foreign currency held by the Borrower or any of its Subsidiaries in the ordinary course of business;</w:t>
      </w:r>
    </w:p>
    <w:p>
      <w:pPr>
        <w:spacing w:after="0" w:line="206" w:lineRule="exact"/>
        <w:rPr>
          <w:rFonts w:ascii="Times New Roman" w:cs="Times New Roman" w:eastAsia="Times New Roman" w:hAnsi="Times New Roman"/>
          <w:sz w:val="18"/>
          <w:szCs w:val="18"/>
          <w:color w:val="auto"/>
        </w:rPr>
      </w:pPr>
    </w:p>
    <w:p>
      <w:pPr>
        <w:ind w:left="4" w:right="80" w:firstLine="436"/>
        <w:spacing w:after="0" w:line="272" w:lineRule="auto"/>
        <w:tabs>
          <w:tab w:leader="none" w:pos="69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17"/>
          <w:szCs w:val="17"/>
          <w:u w:val="single" w:color="auto"/>
          <w:color w:val="auto"/>
        </w:rPr>
        <w:t>clauses</w:t>
      </w:r>
    </w:p>
    <w:p>
      <w:pPr>
        <w:spacing w:after="0" w:line="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definition;</w:t>
      </w:r>
    </w:p>
    <w:p>
      <w:pPr>
        <w:spacing w:after="0" w:line="206" w:lineRule="exact"/>
        <w:rPr>
          <w:rFonts w:ascii="Times New Roman" w:cs="Times New Roman" w:eastAsia="Times New Roman" w:hAnsi="Times New Roman"/>
          <w:sz w:val="18"/>
          <w:szCs w:val="18"/>
          <w:u w:val="single" w:color="auto"/>
          <w:color w:val="auto"/>
        </w:rPr>
      </w:pPr>
    </w:p>
    <w:p>
      <w:pPr>
        <w:jc w:val="both"/>
        <w:ind w:left="4" w:firstLine="436"/>
        <w:spacing w:after="0" w:line="261"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accordance with the investment policy adopted by the Borrower’s board of directors (or committee thereof) as in effect on the date hereof, a copy of which has been furnished to the Administrative Agent, and as the same may be amended, supplemented or otherwise modified from time to time after the date hereof with the consent of the Administrative Agent (such consent not to be unreasonably withheld, conditioned or delayed).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2" w:name="page23"/>
    <w:bookmarkEnd w:id="22"/>
    <w:p>
      <w:pPr>
        <w:jc w:val="both"/>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(a) is the Administrative Agent, a Lender or any of their respective Affiliates or (b) was the Administrative Agent, a Lender or an Affiliate of the Administrative Agent or a Lender at the time the applicable Banking Services Agreement was entered into.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 or the Japanese Prime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the greater of (a)(i)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(D) Australian Dollars, a central bank rate as determined by the Administrative Agent in its reasonable discretion, (E) Singapore Dollars, a central bank rate as determined by the Administrative Agent in its reasonable discretion and (F) any other Alternative Currency determined after the Effective Date, a central bank rate as determined by the Administrative Agent in its reasonable discretion, plus (ii) the Central Bank Rate Adjustment and (b) the Floor.</w:t>
      </w:r>
    </w:p>
    <w:p>
      <w:pPr>
        <w:spacing w:after="0" w:line="190"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Central Bank Rate Adjustment</w:t>
      </w:r>
      <w:r>
        <w:rPr>
          <w:rFonts w:ascii="Times New Roman" w:cs="Times New Roman" w:eastAsia="Times New Roman" w:hAnsi="Times New Roman"/>
          <w:sz w:val="17"/>
          <w:szCs w:val="17"/>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Sterling Borrowings for the five most recent RFR Business Days preceding such day for which Daily Simple RFR for Sterling Borrowings was available (excluding, from such averaging, the highest and the lowest such Daily Simple RFR applicable during such period of five RFR Business Days) minus (ii) the Central Bank Rate in respect of Sterling in effect on the last RFR Business Day in such period, (c) Swiss Francs, a rate equal to the difference (which may be a positive or negative value or zero) of (i) the average of Daily Simple RFR for Swiss Franc Borrowings for the five most recent RFR Business Days preceding such day for which SARON was available (excluding, from such averaging, the highest and the lowest such Daily Simple RFR applicable during such period of five RFR Business Days) minus (ii) the Central Bank Rate in respect of Swiss Francs in effect on the last RFR Business Day in such period, (d) Australian Dollars, a Central Bank Rate Adjustment as determined by the Administrative Agent in its reasonable discretion,</w:t>
      </w:r>
    </w:p>
    <w:p>
      <w:pPr>
        <w:spacing w:after="0" w:line="1" w:lineRule="exact"/>
        <w:rPr>
          <w:sz w:val="20"/>
          <w:szCs w:val="20"/>
          <w:color w:val="auto"/>
        </w:rPr>
      </w:pPr>
    </w:p>
    <w:p>
      <w:pPr>
        <w:ind w:left="4" w:right="100" w:hanging="4"/>
        <w:spacing w:after="0" w:line="265" w:lineRule="auto"/>
        <w:tabs>
          <w:tab w:leader="none" w:pos="24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Singapore Dollars, a Central Bank Rate Adjustment as determined by the Administrative Agent in its reasonable discretion and (f) any other Alternative Currency determined after the Effective Date, a Central Bank Rate Adjustment as determined by the Administrative Agent in its reasonable discretion. For purposes of this definition, (x) the term Central Bank Rate shall be determined disregarding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of the definition of such term and</w:t>
      </w:r>
    </w:p>
    <w:p>
      <w:pPr>
        <w:ind w:left="4" w:right="180" w:hanging="4"/>
        <w:spacing w:after="0" w:line="26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EURIBOR Rate on any day shall be based on the EURIBOR Screen Rate, on such day at approximately the time referred to in the definition of such term for deposits in the applicable Agreed Currency for a maturity of one month.</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3" w:name="page24"/>
    <w:bookmarkEnd w:id="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“person” or “group” (within the meaning of Rule 13d-5 of the Securities Exchange Act of 1934 as in effect on the Effective Date, but excluding any employee benefit plan of such person and its subsidiaries, and any person or entity acting in its capacity as trustee, agent or other fiduciary or administrator of such plan) shall become the “beneficial owner” (within the meaning of Rule 13d-3 and 13d-5 of the Securities Exchange Act of 1934 as in effect on the Effective Date), directly or indirectly, of more than 35% of the then outstanding voting securities having ordinary voting power of the Borrower.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means the occurrence after the date of this Agreement of (a) the adoption of or taking effect of any law, rule, regulation or treaty,</w:t>
      </w:r>
    </w:p>
    <w:p>
      <w:pPr>
        <w:spacing w:after="0" w:line="39" w:lineRule="exact"/>
        <w:rPr>
          <w:sz w:val="20"/>
          <w:szCs w:val="20"/>
          <w:color w:val="auto"/>
        </w:rPr>
      </w:pPr>
    </w:p>
    <w:p>
      <w:pPr>
        <w:ind w:left="4" w:hanging="4"/>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any law, rule, regulation or treaty or in the administration, interpretation, implementation or application thereof by any Governmental Authority or (c) compliance by any Lender or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or Issuing Bank’s holding company, if any) with any request, rule,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Revolving Loans or Incremental Term Loans. Additional Classes of Loans or Commitments may be established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(it being understood that each Extension Series shall be a separate Class).</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w:t>
      </w:r>
      <w:r>
        <w:rPr>
          <w:rFonts w:ascii="Times New Roman" w:cs="Times New Roman" w:eastAsia="Times New Roman" w:hAnsi="Times New Roman"/>
          <w:sz w:val="18"/>
          <w:szCs w:val="18"/>
          <w:color w:val="auto"/>
        </w:rPr>
        <w:t>” means Citizens Bank, N.A., DNB Bank ASA, New York Branch, Fifth Third Bank, National Association, PNC Bank, National Association, The Royal Bank of Canada, Truist Bank and U.S. Bank National Association, each in its capacity as a co-documentation agent hereunder.</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Collaboration Agreements</w:t>
      </w:r>
      <w:r>
        <w:rPr>
          <w:rFonts w:ascii="Times New Roman" w:cs="Times New Roman" w:eastAsia="Times New Roman" w:hAnsi="Times New Roman"/>
          <w:sz w:val="18"/>
          <w:szCs w:val="18"/>
          <w:color w:val="auto"/>
        </w:rPr>
        <w:t>” means research and development licensing agreements, collaboration agreements and development agreements, in each case relating to uncommercialized product candidates and entered into with a third party.</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means any and all property owned, leased or operated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pursuant to the Collateral Documents to secure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shall exclude Excluded Assets.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4" w:name="page25"/>
    <w:bookmarkEnd w:id="24"/>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the Mortgages, if any, and all other agreements, instruments and documents executed in connection with this Agreement that are intended to create, perfect or evidence Liens to secure the Secured Obligations, including, without limitation, all other security agreements, (including intellectual property security agreements), pledge agreements, mortgages, deeds of trust, pledges, assignments or similar agreements, whether heretofore, now, or hereafter executed by the Borrower or any other Loan Party and delivered to the Administrative Agent to secure the Secured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the Revolving Commitments and Incremental Commitments, if 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xml:space="preserve">” means the Commodity Exchange Act (7 U.S.C. § 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amended from time to time, and any successor statute.</w:t>
      </w:r>
    </w:p>
    <w:p>
      <w:pPr>
        <w:spacing w:after="0" w:line="23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including through an Approved Electronic Platform.</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Interest Expense</w:t>
      </w:r>
      <w:r>
        <w:rPr>
          <w:rFonts w:ascii="Times New Roman" w:cs="Times New Roman" w:eastAsia="Times New Roman" w:hAnsi="Times New Roman"/>
          <w:sz w:val="18"/>
          <w:szCs w:val="18"/>
          <w:color w:val="auto"/>
        </w:rPr>
        <w:t xml:space="preserve">” means with reference to any period, the cash interest expense (including cash rent or cash interest expense under Capital Lease Obligations that is treated as interest in accordance with GAAP) of the Borrower and its Subsidiaries calculated on a consolidated basis for such period with respect to all outstanding Indebtedness of the Borrower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net of any cash interest income, and excluding the amortization of debt issuance costs and any interest expense actually “paid in kind” or accreted during such period. In the event that the Borrower or any Subsidiary shall have completed a Pro Forma Basis Transaction since the beginning of the relevant period, Consolidated Cash Interest Expense shall be determined for such period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acquisition or disposition, and any related incurrence or repayment of Indebtedness, had occurred at the beginning of such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with reference to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36"/>
        <w:spacing w:after="0" w:line="28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and to the extent (other than with respect to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below) deducted in determining or otherwise reducing Consolidated Net Income for such period,</w:t>
      </w:r>
    </w:p>
    <w:p>
      <w:pPr>
        <w:spacing w:after="0" w:line="53"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0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charges, and, to the extent not reflected in such consolidated interest charges,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or interest expense under Capital Lease Obligations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5" w:name="page26"/>
    <w:bookmarkEnd w:id="25"/>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pacing w:after="0" w:line="75" w:lineRule="exact"/>
        <w:rPr>
          <w:sz w:val="20"/>
          <w:szCs w:val="20"/>
          <w:color w:val="auto"/>
        </w:rPr>
      </w:pPr>
    </w:p>
    <w:p>
      <w:pPr>
        <w:ind w:left="680" w:hanging="26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local and foreign income taxes,</w:t>
      </w:r>
    </w:p>
    <w:p>
      <w:pPr>
        <w:spacing w:after="0" w:line="117"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w:t>
      </w:r>
    </w:p>
    <w:p>
      <w:pPr>
        <w:spacing w:after="0" w:line="117" w:lineRule="exact"/>
        <w:rPr>
          <w:rFonts w:ascii="Times New Roman" w:cs="Times New Roman" w:eastAsia="Times New Roman" w:hAnsi="Times New Roman"/>
          <w:sz w:val="18"/>
          <w:szCs w:val="18"/>
          <w:color w:val="auto"/>
        </w:rPr>
      </w:pPr>
    </w:p>
    <w:p>
      <w:pPr>
        <w:ind w:right="40" w:firstLine="419"/>
        <w:spacing w:after="0" w:line="271" w:lineRule="auto"/>
        <w:tabs>
          <w:tab w:leader="none" w:pos="72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 forma “run rate” cost savings, operating expense reductions, operational improvements and cost synergies (in each case, excluding revenue synergies) (net of the amount of actual amounts realized) reasonably quantifiable and factually supportable (in the good faith determination of Borrower) related to asset sales, Acquisitions (including the Specified Acquisition), Investments, Dispositions, operating improvements, restructurings, cost saving initiatives and other similar initiatives and transactions projected by the Borrower in good faith to result from actions that have been taken or initiated or with respect to which substantial steps have been taken or initiated or are expected to be taken (in the good faith determination of the Borrower) within 18 months (for the avoidance of doubt including in connection with any of the foregoing, actions taken, prior to the Effective Date) (it is understood and agreed that “run rate” means the full recurring benefit that is associated with any action taken or initiated or expected in good faith to be taken, whether prior to or following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amounts under this </w:t>
      </w:r>
      <w:r>
        <w:rPr>
          <w:rFonts w:ascii="Times New Roman" w:cs="Times New Roman" w:eastAsia="Times New Roman" w:hAnsi="Times New Roman"/>
          <w:sz w:val="17"/>
          <w:szCs w:val="17"/>
          <w:u w:val="single" w:color="auto"/>
          <w:color w:val="auto"/>
        </w:rPr>
        <w:t>clause (a)(iv)</w:t>
      </w:r>
      <w:r>
        <w:rPr>
          <w:rFonts w:ascii="Times New Roman" w:cs="Times New Roman" w:eastAsia="Times New Roman" w:hAnsi="Times New Roman"/>
          <w:sz w:val="17"/>
          <w:szCs w:val="17"/>
          <w:color w:val="auto"/>
        </w:rPr>
        <w:t xml:space="preserve"> shall not exceed 20% of Consolidated EBITDA for any Reference Period as calculated after giving effect to all adjustments,</w:t>
      </w:r>
    </w:p>
    <w:p>
      <w:pPr>
        <w:spacing w:after="0" w:line="65" w:lineRule="exact"/>
        <w:rPr>
          <w:rFonts w:ascii="Times New Roman" w:cs="Times New Roman" w:eastAsia="Times New Roman" w:hAnsi="Times New Roman"/>
          <w:sz w:val="17"/>
          <w:szCs w:val="17"/>
          <w:color w:val="auto"/>
        </w:rPr>
      </w:pPr>
    </w:p>
    <w:p>
      <w:pPr>
        <w:jc w:val="both"/>
        <w:ind w:right="140" w:firstLine="419"/>
        <w:spacing w:after="0" w:line="266"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paid to employees in the form of common stock and (B) any costs or expenses incurred by the Borrower or any of its Subsidiaries pursuant to any management equity plan or stock option plan or any other management or employee benefit plan or agreement, any severance agreement or any stock subscription or shareholder agreement,</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7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costs and expenses (whether or not consummated), including in connection with Acquisitions (including the Specified Acquisition) and other Investments, Dispositions, the incurrence, issuance, refinancing or repurchase of Indebtedness or Equity Interests, and Restricted Payments, or any similar transaction,</w:t>
      </w:r>
    </w:p>
    <w:p>
      <w:pPr>
        <w:spacing w:after="0" w:line="67" w:lineRule="exact"/>
        <w:rPr>
          <w:rFonts w:ascii="Times New Roman" w:cs="Times New Roman" w:eastAsia="Times New Roman" w:hAnsi="Times New Roman"/>
          <w:sz w:val="18"/>
          <w:szCs w:val="18"/>
          <w:color w:val="auto"/>
        </w:rPr>
      </w:pPr>
    </w:p>
    <w:p>
      <w:pPr>
        <w:ind w:right="300" w:firstLine="419"/>
        <w:spacing w:after="0" w:line="256"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reorganization and restructuring charges, expenses, losses or reserves, including in connection with Acquisitions (including the Specified Acquisition) and other Investments, and (B) costs and expenses related to the closure, consolidation and integration of facilities, information technology infrastructure and legal entities, including employee integration or severance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 and (B), the aggregate amount of charges, expenses, losses, reserves, costs and payments added back pursuant to this </w:t>
      </w:r>
      <w:r>
        <w:rPr>
          <w:rFonts w:ascii="Times New Roman" w:cs="Times New Roman" w:eastAsia="Times New Roman" w:hAnsi="Times New Roman"/>
          <w:sz w:val="18"/>
          <w:szCs w:val="18"/>
          <w:u w:val="single" w:color="auto"/>
          <w:color w:val="auto"/>
        </w:rPr>
        <w:t>clause (a)(vii)</w:t>
      </w:r>
      <w:r>
        <w:rPr>
          <w:rFonts w:ascii="Times New Roman" w:cs="Times New Roman" w:eastAsia="Times New Roman" w:hAnsi="Times New Roman"/>
          <w:sz w:val="18"/>
          <w:szCs w:val="18"/>
          <w:color w:val="auto"/>
        </w:rPr>
        <w:t xml:space="preserve">, together with amounts added back pursuant to </w:t>
      </w:r>
      <w:r>
        <w:rPr>
          <w:rFonts w:ascii="Times New Roman" w:cs="Times New Roman" w:eastAsia="Times New Roman" w:hAnsi="Times New Roman"/>
          <w:sz w:val="18"/>
          <w:szCs w:val="18"/>
          <w:u w:val="single" w:color="auto"/>
          <w:color w:val="auto"/>
        </w:rPr>
        <w:t>clause (a)(xiii)</w:t>
      </w:r>
      <w:r>
        <w:rPr>
          <w:rFonts w:ascii="Times New Roman" w:cs="Times New Roman" w:eastAsia="Times New Roman" w:hAnsi="Times New Roman"/>
          <w:sz w:val="18"/>
          <w:szCs w:val="18"/>
          <w:color w:val="auto"/>
        </w:rPr>
        <w:t xml:space="preserve"> below, shall not exceed 30% of Consolidated EBITDA for any Reference Period as calculated after giving effect to all adjustments,</w:t>
      </w:r>
    </w:p>
    <w:p>
      <w:pPr>
        <w:spacing w:after="0" w:line="79"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other expenses incurred in connection with the Transactions,</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7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pursuant to GAAP resulting from purchase accounting in relation to Investments not prohibited by this Agreement, or the amortization or write-off of any amounts thereof, net of taxes, in each case, which do not represent a cash item in such period or any future period,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6" w:name="page27"/>
    <w:bookmarkEnd w:id="26"/>
    <w:p>
      <w:pPr>
        <w:ind w:left="4" w:right="340" w:firstLine="419"/>
        <w:spacing w:after="0" w:line="282" w:lineRule="auto"/>
        <w:tabs>
          <w:tab w:leader="none" w:pos="6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losses associated with the revaluation of earnouts, milestones or other similar contingent obligations incurred in connection with the Transaction or any other Investment not prohibited by this Agreement (including upfront, earnout or milestone payments),</w:t>
      </w:r>
    </w:p>
    <w:p>
      <w:pPr>
        <w:spacing w:after="0" w:line="53" w:lineRule="exact"/>
        <w:rPr>
          <w:rFonts w:ascii="Times New Roman" w:cs="Times New Roman" w:eastAsia="Times New Roman" w:hAnsi="Times New Roman"/>
          <w:sz w:val="18"/>
          <w:szCs w:val="18"/>
          <w:color w:val="auto"/>
        </w:rPr>
      </w:pPr>
    </w:p>
    <w:p>
      <w:pPr>
        <w:ind w:left="4" w:right="480" w:firstLine="419"/>
        <w:spacing w:after="0" w:line="282"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Upfront Payments, Deferred Acquisition Consideration and other similar payments (in each case, other than ongoing royalty payments) made in connection with any Acquisition,</w:t>
      </w:r>
    </w:p>
    <w:p>
      <w:pPr>
        <w:spacing w:after="0" w:line="53"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78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reducing Consolidated Net Income (including, without limitation, non-cash, share-based compensation reducing Consolidated Net Income in accordance with ASC 718) which do not represent a cash expense in such period or any future period or amortization of a prepaid cash expense that was paid in a prior period (in each case of or by the Borrower and its Subsidiaries for such Reference Period),</w:t>
      </w:r>
    </w:p>
    <w:p>
      <w:pPr>
        <w:spacing w:after="0" w:line="49" w:lineRule="exact"/>
        <w:rPr>
          <w:rFonts w:ascii="Times New Roman" w:cs="Times New Roman" w:eastAsia="Times New Roman" w:hAnsi="Times New Roman"/>
          <w:sz w:val="17"/>
          <w:szCs w:val="17"/>
          <w:color w:val="auto"/>
        </w:rPr>
      </w:pPr>
    </w:p>
    <w:p>
      <w:pPr>
        <w:ind w:left="4" w:right="60" w:firstLine="419"/>
        <w:spacing w:after="0" w:line="266" w:lineRule="auto"/>
        <w:tabs>
          <w:tab w:leader="none" w:pos="8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extraordinary, unusual, non-recurring or one-time expenses, charges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cash expenses, charges or losses added back pursuant to this </w:t>
      </w:r>
      <w:r>
        <w:rPr>
          <w:rFonts w:ascii="Times New Roman" w:cs="Times New Roman" w:eastAsia="Times New Roman" w:hAnsi="Times New Roman"/>
          <w:sz w:val="18"/>
          <w:szCs w:val="18"/>
          <w:u w:val="single" w:color="auto"/>
          <w:color w:val="auto"/>
        </w:rPr>
        <w:t>clause (a)(xiii)</w:t>
      </w:r>
      <w:r>
        <w:rPr>
          <w:rFonts w:ascii="Times New Roman" w:cs="Times New Roman" w:eastAsia="Times New Roman" w:hAnsi="Times New Roman"/>
          <w:sz w:val="18"/>
          <w:szCs w:val="18"/>
          <w:color w:val="auto"/>
        </w:rPr>
        <w:t xml:space="preserve">, together with amounts added back pursuant to </w:t>
      </w:r>
      <w:r>
        <w:rPr>
          <w:rFonts w:ascii="Times New Roman" w:cs="Times New Roman" w:eastAsia="Times New Roman" w:hAnsi="Times New Roman"/>
          <w:sz w:val="18"/>
          <w:szCs w:val="18"/>
          <w:u w:val="single" w:color="auto"/>
          <w:color w:val="auto"/>
        </w:rPr>
        <w:t>clause (a)(vii)</w:t>
      </w:r>
      <w:r>
        <w:rPr>
          <w:rFonts w:ascii="Times New Roman" w:cs="Times New Roman" w:eastAsia="Times New Roman" w:hAnsi="Times New Roman"/>
          <w:sz w:val="18"/>
          <w:szCs w:val="18"/>
          <w:color w:val="auto"/>
        </w:rPr>
        <w:t xml:space="preserve"> above shall not exceed 30% of Consolidated EBITDA for any Reference Period (after giving effect to all adjustments),</w:t>
      </w:r>
    </w:p>
    <w:p>
      <w:pPr>
        <w:spacing w:after="0" w:line="67" w:lineRule="exact"/>
        <w:rPr>
          <w:rFonts w:ascii="Times New Roman" w:cs="Times New Roman" w:eastAsia="Times New Roman" w:hAnsi="Times New Roman"/>
          <w:sz w:val="18"/>
          <w:szCs w:val="18"/>
          <w:color w:val="auto"/>
        </w:rPr>
      </w:pPr>
    </w:p>
    <w:p>
      <w:pPr>
        <w:ind w:left="4" w:firstLine="419"/>
        <w:spacing w:after="0" w:line="255" w:lineRule="auto"/>
        <w:tabs>
          <w:tab w:leader="none" w:pos="8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charges, losses, lost profits, expenses (including litigation expenses, fee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loss of, damage to or destruction of, or any condemnation or other taking for public use of, any property of any Loan Party that constitutes Collateral, in each case, to the extent that coverage has not been denied and so long as such amounts are actually reimbursed in cash within one (1) year after the related amount is first added to Consolidated EBITDA pursuant to this </w:t>
      </w:r>
      <w:r>
        <w:rPr>
          <w:rFonts w:ascii="Times New Roman" w:cs="Times New Roman" w:eastAsia="Times New Roman" w:hAnsi="Times New Roman"/>
          <w:sz w:val="18"/>
          <w:szCs w:val="18"/>
          <w:u w:val="single" w:color="auto"/>
          <w:color w:val="auto"/>
        </w:rPr>
        <w:t>clause (a)(xiv)</w:t>
      </w:r>
      <w:r>
        <w:rPr>
          <w:rFonts w:ascii="Times New Roman" w:cs="Times New Roman" w:eastAsia="Times New Roman" w:hAnsi="Times New Roman"/>
          <w:sz w:val="18"/>
          <w:szCs w:val="18"/>
          <w:color w:val="auto"/>
        </w:rPr>
        <w:t xml:space="preserve"> (and if not so reimbursed within one year, such amount shall be deducted from Consolidated EBITDA during the next Reference Period),</w:t>
      </w:r>
    </w:p>
    <w:p>
      <w:pPr>
        <w:spacing w:after="0" w:line="80"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7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of casualty insurance in respect of the Collateral and proceeds of business interruption insurance (in each case whether or not then received so long as the Borrower in good faith expects to receive such proceeds within one year after the related amount is first added to Consolidated EBITDA pursuant to this </w:t>
      </w:r>
      <w:r>
        <w:rPr>
          <w:rFonts w:ascii="Times New Roman" w:cs="Times New Roman" w:eastAsia="Times New Roman" w:hAnsi="Times New Roman"/>
          <w:sz w:val="18"/>
          <w:szCs w:val="18"/>
          <w:u w:val="single" w:color="auto"/>
          <w:color w:val="auto"/>
        </w:rPr>
        <w:t>clause (a)(xv)</w:t>
      </w:r>
      <w:r>
        <w:rPr>
          <w:rFonts w:ascii="Times New Roman" w:cs="Times New Roman" w:eastAsia="Times New Roman" w:hAnsi="Times New Roman"/>
          <w:sz w:val="18"/>
          <w:szCs w:val="18"/>
          <w:color w:val="auto"/>
        </w:rPr>
        <w:t xml:space="preserve"> (and if not so reimbursed within one (1) year, such amount shall be deducted from Consolidated EBITDA during the next Reference Period)),</w:t>
      </w:r>
    </w:p>
    <w:p>
      <w:pPr>
        <w:spacing w:after="0" w:line="71"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8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settlement expenses (including fees of counsel) associated with disputes or litigation, including, but not limited to, patent infringement disputes or litigation personnel,</w:t>
      </w:r>
    </w:p>
    <w:p>
      <w:pPr>
        <w:spacing w:after="0" w:line="53" w:lineRule="exact"/>
        <w:rPr>
          <w:rFonts w:ascii="Times New Roman" w:cs="Times New Roman" w:eastAsia="Times New Roman" w:hAnsi="Times New Roman"/>
          <w:sz w:val="18"/>
          <w:szCs w:val="18"/>
          <w:color w:val="auto"/>
        </w:rPr>
      </w:pPr>
    </w:p>
    <w:p>
      <w:pPr>
        <w:ind w:left="864" w:hanging="441"/>
        <w:spacing w:after="0"/>
        <w:tabs>
          <w:tab w:leader="none" w:pos="8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expenses,</w:t>
      </w:r>
    </w:p>
    <w:p>
      <w:pPr>
        <w:spacing w:after="0" w:line="117" w:lineRule="exact"/>
        <w:rPr>
          <w:rFonts w:ascii="Times New Roman" w:cs="Times New Roman" w:eastAsia="Times New Roman" w:hAnsi="Times New Roman"/>
          <w:sz w:val="18"/>
          <w:szCs w:val="18"/>
          <w:color w:val="auto"/>
        </w:rPr>
      </w:pPr>
    </w:p>
    <w:p>
      <w:pPr>
        <w:ind w:left="4" w:right="520" w:firstLine="419"/>
        <w:spacing w:after="0" w:line="312" w:lineRule="auto"/>
        <w:tabs>
          <w:tab w:leader="none" w:pos="92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unrealized losses in respect of currency exchange and/or hedging agreements and (B) any unrealized foreign currency transaction losses in respect of Indebtedness of any Person denominated in a currency other than the functional currency of such Person,</w:t>
      </w:r>
    </w:p>
    <w:p>
      <w:pPr>
        <w:spacing w:after="0" w:line="31" w:lineRule="exact"/>
        <w:rPr>
          <w:rFonts w:ascii="Times New Roman" w:cs="Times New Roman" w:eastAsia="Times New Roman" w:hAnsi="Times New Roman"/>
          <w:sz w:val="17"/>
          <w:szCs w:val="17"/>
          <w:color w:val="auto"/>
        </w:rPr>
      </w:pPr>
    </w:p>
    <w:p>
      <w:pPr>
        <w:ind w:left="4" w:right="160" w:firstLine="419"/>
        <w:spacing w:after="0" w:line="276" w:lineRule="auto"/>
        <w:tabs>
          <w:tab w:leader="none" w:pos="82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(i) any reasonable expenses paid on behalf of any member of the board of directors (or any other applicable governing body) of such person or reimbursable to such member of the board of directors (or any other applicable governing body) of such person and</w:t>
      </w: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indemnities or fees provided to any member of the board of directors (or any other applicable governing body) of such person,</w:t>
      </w:r>
    </w:p>
    <w:p>
      <w:pPr>
        <w:spacing w:after="0" w:line="139"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24"/>
          </w:cols>
          <w:pgMar w:left="876" w:top="270" w:right="499" w:bottom="1440" w:gutter="0" w:footer="0" w:header="0"/>
        </w:sectPr>
      </w:pPr>
    </w:p>
    <w:bookmarkStart w:id="27" w:name="page28"/>
    <w:bookmarkEnd w:id="27"/>
    <w:p>
      <w:pPr>
        <w:ind w:left="1204" w:hanging="341"/>
        <w:spacing w:after="0"/>
        <w:tabs>
          <w:tab w:leader="none" w:pos="12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mark-to-market losses on equity and securities investments,</w:t>
      </w:r>
    </w:p>
    <w:p>
      <w:pPr>
        <w:spacing w:after="0" w:line="117"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consistent with Article 11 of Regulation S-X (other than “management adjustments” referred to therein),</w:t>
      </w:r>
    </w:p>
    <w:p>
      <w:pPr>
        <w:spacing w:after="0" w:line="117" w:lineRule="exact"/>
        <w:rPr>
          <w:rFonts w:ascii="Times New Roman" w:cs="Times New Roman" w:eastAsia="Times New Roman" w:hAnsi="Times New Roman"/>
          <w:sz w:val="18"/>
          <w:szCs w:val="18"/>
          <w:color w:val="auto"/>
        </w:rPr>
      </w:pPr>
    </w:p>
    <w:p>
      <w:pPr>
        <w:ind w:left="1304" w:hanging="441"/>
        <w:spacing w:after="0"/>
        <w:tabs>
          <w:tab w:leader="none" w:pos="1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changes in accounting principles as a result of the adoption or modification of accounting policies during such</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and</w:t>
      </w:r>
    </w:p>
    <w:p>
      <w:pPr>
        <w:spacing w:after="0" w:line="98" w:lineRule="exact"/>
        <w:rPr>
          <w:rFonts w:ascii="Times New Roman" w:cs="Times New Roman" w:eastAsia="Times New Roman" w:hAnsi="Times New Roman"/>
          <w:sz w:val="18"/>
          <w:szCs w:val="18"/>
          <w:color w:val="auto"/>
        </w:rPr>
      </w:pPr>
    </w:p>
    <w:p>
      <w:pPr>
        <w:ind w:left="1364" w:hanging="501"/>
        <w:spacing w:after="0"/>
        <w:tabs>
          <w:tab w:leader="none" w:pos="13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fees and expenses incurred in connection with obtaining credit ratings,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minus,</w:t>
      </w:r>
    </w:p>
    <w:p>
      <w:pPr>
        <w:spacing w:after="0" w:line="117" w:lineRule="exact"/>
        <w:rPr>
          <w:sz w:val="20"/>
          <w:szCs w:val="20"/>
          <w:color w:val="auto"/>
        </w:rPr>
      </w:pPr>
    </w:p>
    <w:p>
      <w:pPr>
        <w:ind w:left="704" w:hanging="264"/>
        <w:spacing w:after="0"/>
        <w:tabs>
          <w:tab w:leader="none" w:pos="7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or otherwise increasing Consolidated Net Income for such period,</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0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gains increasing Consolidated Net Income (in each case of or by the Borrower and its Subsidiaries for such Reference Period) (excluding the recognition of deferred revenue or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income for such period (to the extent not netted in determining the amount for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income Tax benefits for such period to the extent not netted in determining the amount for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non-recurring or one-time gains for such period,</w:t>
      </w:r>
    </w:p>
    <w:p>
      <w:pPr>
        <w:spacing w:after="0" w:line="11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Upfront Payments and Deferred Disposition Consideration and other similar payments (in each case, other than ongoing royalty payments) received in connection with any Disposition; and</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mark-to-market gains on equity and securities investments.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purposes of calculating Consolidated EBITDA for any period of four consecutive fiscal quarters (each such period, a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80" w:hanging="4"/>
        <w:spacing w:after="0" w:line="252"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during such Reference Period the Borrower or any Subsidiary shall have made any Pro Forma Basis Transaction that is a Disposition, the Consolidated EBITDA for such Reference Period shall be reduced by an amount equal to the Consolidated EBITDA (if positive) attributable to the property that is the subject of such Disposition for such Reference Period or increased by an amount equal to the Consolidated EBITDA (if negative) attributable thereto for such Reference Period, and (ii) if during such Reference Period the Borrower or any Subsidiary shall have completed a Pro Forma Basis Transaction that is an Acquisition, Consolidated EBITDA for such Reference Period shall be calculated after giving effect thereto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basis as if such Acquisition occurred on the first day of such Reference Period.</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8" w:name="page29"/>
    <w:bookmarkEnd w:id="28"/>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b) (or, prior to the delivery of any such financial statements, the last day of the last fiscal quarter included in the financial statements referred to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of (a) Consolidated EBITDA for the most recently ended four fiscal quarter period to (b) Consolidated Cash Interest Expense, all calculated for the period of four consecutive fiscal quarters ending with the end of such fiscal quarter and all calculated for the Borrower and its Subsidiaries on a consolidated basis.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Borrower and its Subsidiaries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any income (or loss) of any Person other than the Borrower or a Subsidiary and (b) solely for purposes of calculating the Available Amount, the income of any Subsidiary to the extent that the declaration or payment of dividends or similar distributions by such Subsidiary of its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but, in each case, any such income so excluded may be included in such period or any later period to the extent of any cash dividends or distributions actually paid in the relevant period to the Borrower or any Subsidiary thereof.</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Indebtedness</w:t>
      </w:r>
      <w:r>
        <w:rPr>
          <w:rFonts w:ascii="Times New Roman" w:cs="Times New Roman" w:eastAsia="Times New Roman" w:hAnsi="Times New Roman"/>
          <w:sz w:val="18"/>
          <w:szCs w:val="18"/>
          <w:color w:val="auto"/>
        </w:rPr>
        <w:t>” means, at any time of determination, Consolidated Total Net Indebtedness at such time that is secured by any asset of the Borrower or any of its Subsidiaries.</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Borrower and its Subsidiaries calculated in accordance with GAAP on a consolidated basis as of such date.</w:t>
      </w:r>
    </w:p>
    <w:p>
      <w:pPr>
        <w:spacing w:after="0" w:line="162" w:lineRule="exact"/>
        <w:rPr>
          <w:sz w:val="20"/>
          <w:szCs w:val="20"/>
          <w:color w:val="auto"/>
        </w:rPr>
      </w:pPr>
    </w:p>
    <w:p>
      <w:pPr>
        <w:ind w:right="3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as of the date of any determination thereof, the sum, without duplication, of the (a) the aggregate Indebtedness of the type that are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(other than obligations under any automobile leases) of the definition of “Indebtedness” of the Borrower and its Subsidiaries, calculated on a consolidated basis as of such date in accordance with GAAP, (b) the aggregate amount of Indebtedness of the Borrower and its Subsidiaries relating to letters of credit (but only to the extent drawn and not reimbursed or cash collateralized), and (c) Indebtedness of the type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of another Person guaranteed by the Borrower or any of its Subsidiaries up to the specified amount for which repayment is guaranteed, if any.</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means, at any time of determination, the excess, if any, of (i) Consolidated Total Indebtedness over (ii) the amount of unrestricted cash and Cash Equivalents of the Borrower and its Subsidiaries in excess of $500,000,000, in each case as of such time.</w:t>
      </w:r>
    </w:p>
    <w:p>
      <w:pPr>
        <w:spacing w:after="0" w:line="162"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Holiday Period</w:t>
      </w:r>
      <w:r>
        <w:rPr>
          <w:rFonts w:ascii="Times New Roman" w:cs="Times New Roman" w:eastAsia="Times New Roman" w:hAnsi="Times New Roman"/>
          <w:sz w:val="18"/>
          <w:szCs w:val="18"/>
          <w:color w:val="auto"/>
        </w:rPr>
        <w:t xml:space="preserve">” means the period of four consecutive fiscal quarters commencing on the first day of the fiscal quarter in which the consummation of a Covenant Holiday Transaction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applicable, the two Covenant Holiday Periods shall be separated by a period of at least two full fiscal quarters during which no Covenant Holiday Period is in effect.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9" w:name="page30"/>
    <w:bookmarkEnd w:id="29"/>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Covenant Holiday Transaction</w:t>
      </w:r>
      <w:r>
        <w:rPr>
          <w:rFonts w:ascii="Times New Roman" w:cs="Times New Roman" w:eastAsia="Times New Roman" w:hAnsi="Times New Roman"/>
          <w:sz w:val="18"/>
          <w:szCs w:val="18"/>
          <w:color w:val="auto"/>
        </w:rPr>
        <w:t xml:space="preserve">” means a Permitted Acquisition or other similar Investment is consummated in respect of which (a) the Borrower or any Subsidiary incurs Indebtedness of $150,000,000 or more and (b) the Borrower delivers to the Administrative Agent a certificate of a Responsible Officer designating such Permitted Acquisition or other similar Investment as a “Covenant Holiday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there be more than two Covenant Holiday Transactions.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084" w:hanging="221"/>
        <w:spacing w:after="0"/>
        <w:tabs>
          <w:tab w:leader="none" w:pos="10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a Borrowing, the issuance, amendment or extension of a Letter of Credit, an LC Disbursement or any of the foregoing.</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(a) such Lender’s Revolving Credit Exposure at such time, plus (b) an amount equal to the aggregate principal amount of such Lender’s Incremental Term Loans outstanding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each Issuing Bank or any Lender.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ind w:left="224" w:hanging="224"/>
        <w:spacing w:after="0"/>
        <w:tabs>
          <w:tab w:leader="none" w:pos="2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SONIA for the day that is five RFR Business Days prior to (A) if such RFR Interest Day is an RFR Business Day, such RFR Interest Day or</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if such RFR Interest Day is not an RFR Business Day, the RFR Business Day immediately preceding such RFR Interest Day, (ii) Swiss Francs, SARON for the day that is five RFR Business Days prior to (A) if such RFR Interest Day is an RFR Business Day, such RFR Interest Day or (B) if such RFR Interest Day is not an RFR Business Day, the Business Day immediately preceding such RFR Interest Day, (iii) Singapore Dollars, SORA for the day that is five RFR Business Days prior to (A) if such RFR Interest Day is an RFR Business Day, such RFR Interest Day or (B) if such RFR Interest Day is not an RFR Business Day, the RFR Business Day immediately preceding such RFR Interest Day and (iv) Dollars, Daily Simple SOFR (following a Benchmark Transition Event and a Benchmark Replacement Date with respect to the Term SOFR Rate).</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xml:space="preserve">”),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that is five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Daily Simple SOFR has not occurred, then SOFR for such SOFR Determination Date will be SOFR as published in respect of the first preceding RFR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Daily Simple SOFR as so determined would be less than the Floor, such rate shall be deemed to be equal to the Floor for the purposes of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means the Drug Enforcement Administration of the United States of America, and any successor agency thereof.</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Loan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receipt of such certification in form and substance satisfactory to it and the Administrative Agent, or (d) has become the subject of (i) a Bankruptcy Event or (ii)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9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Acquisition Consideration</w:t>
      </w:r>
      <w:r>
        <w:rPr>
          <w:rFonts w:ascii="Times New Roman" w:cs="Times New Roman" w:eastAsia="Times New Roman" w:hAnsi="Times New Roman"/>
          <w:sz w:val="18"/>
          <w:szCs w:val="18"/>
          <w:color w:val="auto"/>
        </w:rPr>
        <w:t>” means any purchase price adjustments, earn-outs, Milestone Payments, purchase price holdbacks, contingent or other deferred payments of a similar nature (including any non-compete payments and consulting payments) made in connection with any Investment or other acquisition (including the acquisition of any Intellectual Property or license in respect thereof).</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Disposition Consideration</w:t>
      </w:r>
      <w:r>
        <w:rPr>
          <w:rFonts w:ascii="Times New Roman" w:cs="Times New Roman" w:eastAsia="Times New Roman" w:hAnsi="Times New Roman"/>
          <w:sz w:val="18"/>
          <w:szCs w:val="18"/>
          <w:color w:val="auto"/>
        </w:rPr>
        <w:t>” means any purchase price adjustments, earn-outs, Milestone Payments, purchase price holdbacks, contingent or other deferred payments of a similar nature (including any non-compete payments and consulting payments) received in connection with any Disposition (including the Disposition of any Intellectual Property or license in respect thereof).</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Borrower in good faith) of non-cash consideration received by the Loan Parties and their Subsidiaries in connection with a Disposition pursuant to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 xml:space="preserve"> that is designated as Designated Non-Cash Consideration by the Borrower, less the amount of cash and Cash Equivalents received in connection with a subsequent Disposition of such non-cash consideration.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70" w:right="53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Property</w:t>
      </w:r>
      <w:r>
        <w:rPr>
          <w:rFonts w:ascii="Times New Roman" w:cs="Times New Roman" w:eastAsia="Times New Roman" w:hAnsi="Times New Roman"/>
          <w:sz w:val="18"/>
          <w:szCs w:val="18"/>
          <w:color w:val="auto"/>
        </w:rPr>
        <w:t xml:space="preserve">” means that certain property identified on </w:t>
      </w:r>
      <w:r>
        <w:rPr>
          <w:rFonts w:ascii="Times New Roman" w:cs="Times New Roman" w:eastAsia="Times New Roman" w:hAnsi="Times New Roman"/>
          <w:sz w:val="18"/>
          <w:szCs w:val="18"/>
          <w:u w:val="single" w:color="auto"/>
          <w:color w:val="auto"/>
        </w:rPr>
        <w:t>Schedule 6.05(gg)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Property Acquisition</w:t>
      </w:r>
      <w:r>
        <w:rPr>
          <w:rFonts w:ascii="Times New Roman" w:cs="Times New Roman" w:eastAsia="Times New Roman" w:hAnsi="Times New Roman"/>
          <w:sz w:val="18"/>
          <w:szCs w:val="18"/>
          <w:color w:val="auto"/>
        </w:rPr>
        <w:t>” means the acquisition by the Borrower or any other Loan Party of the Designated Property (whether directly or through the acquisition of any special purpose vehicle whose sole asset is the Designated Property and related assets).</w:t>
      </w:r>
    </w:p>
    <w:p>
      <w:pPr>
        <w:spacing w:after="0" w:line="162"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Property Financing</w:t>
      </w:r>
      <w:r>
        <w:rPr>
          <w:rFonts w:ascii="Times New Roman" w:cs="Times New Roman" w:eastAsia="Times New Roman" w:hAnsi="Times New Roman"/>
          <w:sz w:val="18"/>
          <w:szCs w:val="18"/>
          <w:color w:val="auto"/>
        </w:rPr>
        <w:t>” means Indebtedness incurred to finance or assumed in connection with the acquisition of the Designated Property or secured by a Lien on the Designated Property prior to or within 180 days after the acquisition thereof, and amendments, modifications, extensions, refinancings, renewals and replacements of any such Indebtedness.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Property Sale and Leaseback</w:t>
      </w:r>
      <w:r>
        <w:rPr>
          <w:rFonts w:ascii="Times New Roman" w:cs="Times New Roman" w:eastAsia="Times New Roman" w:hAnsi="Times New Roman"/>
          <w:sz w:val="18"/>
          <w:szCs w:val="18"/>
          <w:color w:val="auto"/>
        </w:rPr>
        <w:t>” means a Sale and Leaseback Transaction with respect to the Designated Property that is</w:t>
      </w:r>
    </w:p>
    <w:p>
      <w:pPr>
        <w:spacing w:after="0" w:line="27" w:lineRule="exact"/>
        <w:rPr>
          <w:sz w:val="20"/>
          <w:szCs w:val="20"/>
          <w:color w:val="auto"/>
        </w:rPr>
      </w:pPr>
    </w:p>
    <w:p>
      <w:pPr>
        <w:ind w:left="4" w:right="580" w:hanging="4"/>
        <w:spacing w:after="0" w:line="260"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by the Borrower or any Loan Party, (b) on an arm’s length basis and (c) for no less than the fair market value of the Designated Property at the time of such Sale and Leaseback Transaction, as determined by the Borrower in good faith.</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w:t>
      </w:r>
      <w:r>
        <w:rPr>
          <w:rFonts w:ascii="Times New Roman" w:cs="Times New Roman" w:eastAsia="Times New Roman" w:hAnsi="Times New Roman"/>
          <w:sz w:val="18"/>
          <w:szCs w:val="18"/>
          <w:color w:val="auto"/>
        </w:rPr>
        <w:t xml:space="preserve">” means any Equity Interest which, by its terms (or by the terms of any security or other Equity Interest into which it is convertible or for which it is exchangeable), or upon the happening of any event or condition (a) matures (excluding any maturity as the result of an optional redemption by the issuer thereof) or is mandatorily redeemable (other than solely for Equity Interest that is not Disqualified Equity and/or cash in lieu of fractional shares), pursuant to a sinking fund obligation or otherwise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the cancellation or expiration of all Letters of Credit (or the cash collateralization or backstopping thereof pursuant to arrangements reasonably satisfactory to the applicable Issuing Banks) and the termination or expiration of the Commitments), (b) is redeemable at the option of the holder thereof (other than solely for Equity Interests that are not Disqualified Equity and/or cash in lieu of fractional shares), in whole or in part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the cancellation or expiration of all Letters of Credit (or the cash collateralization or backstopping thereof pursuant to arrangements reasonably satisfactory to the applicable Issuing Banks) and the termination or expiration of the Commitments), (c) requires the payment of any cash dividend or any other scheduled cash payment constituting a return of capital (other than the payment of cash in lieu of redemption of fractional shares) or (d) is or becomes convertible into or exchangeable for Indebtedness or any other Equity Interests that would constitute Disqualified Equity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prior to the date that is ninety-one (91)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to any plan for the benefit of employees of the Borrower or its Subsidiaries or by any such plan to such employees, such Equity Interests shall not constitute Disqualified Equity solely because they may be required to be repurchased by the Borrower or any Subsidiary thereof in order to satisfy applicable statutory or regulatory obligations.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2" w:name="page33"/>
    <w:bookmarkEnd w:id="3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(a) Persons that are specifically identified by the Borrower to the Administrative Agent in writing prior to the Effective Date, (b) any Person that is reasonably determined by the Borrower after the Effective Date to be a competitor of the Borrower or its Subsidiaries and which is specifically identified in a written supplement to the list of “Disqualified Institutions”, which supplement shall become effective three Business Days after delivery thereof to the Administrative Agent and the Lenders at […***…] (the “</w:t>
      </w:r>
      <w:r>
        <w:rPr>
          <w:rFonts w:ascii="Times New Roman" w:cs="Times New Roman" w:eastAsia="Times New Roman" w:hAnsi="Times New Roman"/>
          <w:sz w:val="18"/>
          <w:szCs w:val="18"/>
          <w:u w:val="single" w:color="auto"/>
          <w:color w:val="auto"/>
        </w:rPr>
        <w:t>Notice Address</w:t>
      </w:r>
      <w:r>
        <w:rPr>
          <w:rFonts w:ascii="Times New Roman" w:cs="Times New Roman" w:eastAsia="Times New Roman" w:hAnsi="Times New Roman"/>
          <w:sz w:val="18"/>
          <w:szCs w:val="18"/>
          <w:color w:val="auto"/>
        </w:rPr>
        <w:t xml:space="preserve">”), (c) subject to the consent of the Administrative Agent (such consent not to be unreasonably withheld, delayed or conditioned) any Person specifically identified in a written supplement to the list of “Disqualified Institutions”, which supplement shall become effective three Business Days after the later of (i) delivery thereof to the Administrative Agent at the Notice Address and (ii) the Administrative Agent’s consent and (d) in the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of such entities’ Affiliates to the extent such Affiliates (x) are clearly identifiable as Affiliates of such Persons based solely on the similarity of such Affiliates’ and such Persons’ names and (y) are not bona fide debt investment funds. It is understood and agreed that (i) any supplement to the list of Persons that are Disqualified Institutions contemplated by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retroactively to disqualify any pending or prior assignment of or participation in an interest in the Loans or the Commitments to any pending Lender, pending Participant, Lender or Participant, as applicable (but solely with respect to such Loans or Commitments, as applicable), (ii) the Administrative Agent shall have no responsibility or liability to determine or monitor whether any Lender or potential Lender is a Disqualified Institution, (iii) the Borrower’s failure to deliver such list (or supplement thereto) to the Administrative Agent at the Notice Address shall render such list (or supplement) not received and not effective and (iv) “Disqualified Institution” shall exclude any Person that the Borrower has designated as no longer being a “Disqualified Institution” by written notice delivered to the Administrative Agent from time to time to the Administrative Agent at the Notice Address.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Holding Company</w:t>
      </w:r>
      <w:r>
        <w:rPr>
          <w:rFonts w:ascii="Times New Roman" w:cs="Times New Roman" w:eastAsia="Times New Roman" w:hAnsi="Times New Roman"/>
          <w:sz w:val="18"/>
          <w:szCs w:val="18"/>
          <w:color w:val="auto"/>
        </w:rPr>
        <w:t>” mean any Domestic Subsidiary that owns no material assets (directly or through one or more disregarded entities) other than capital stock (including any debt instrument treated as equity for U.S. federal income tax purposes) of (a) one or more Foreign Subsidiaries that are CFCs or (b) one or more other Domestic Foreign Holding Companies.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9.04(e)(iv)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directives, orders, decrees, judgments, injunctions, written notices or binding agreements issued, promulgated or entered into by any Governmental Authority, relating to pollution or protection of the environment or natural resources, the management, release or threatened release of any Hazardous Material or to the protection of human health and safety from the presence of Hazardous Materials.</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such equity interest, but excluding any debt securities (including Permitted Convertible Debt) convertible into, or exchangeable for, any of the foregoing.</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4" w:name="page35"/>
    <w:bookmarkEnd w:id="34"/>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(c) of the Code or Section 4001(14) of ERISA or, solely for purposes of Section 302 of ERISA and Section 412 of the Code, is treated as a single employer under Section 414 of the Code.</w:t>
      </w:r>
    </w:p>
    <w:p>
      <w:pPr>
        <w:spacing w:after="0" w:line="176"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with respect to a Plan (other than an event for which the 30 day notice period is waived); (b) the failure to satisfy the “minimum funding standard” (as defined in Section 412 of the Code or Section 302 of ERISA), whether or not waived, with respect to any Plan; (c) the filing pursuant to Section 412(c) of the Code or Section 302(c) of ERISA of an application for a waiver of the minimum funding standard with respect to any Plan; (d) the incurrence by any Loan Party or any ERISA Affiliate of any liability under Title IV of ERISA with respect to the termination of any Plan; (e) the receipt by any Loan Party or any ERISA Affiliate from the PBGC or a Plan administrator of any notice indicating an intention to terminate any Plan or to appoint a trustee to administer any Plan; (f) the incurrence by any Loan Party or any ERISA Affiliate of any liability with respect to the withdrawal or partial withdrawal of any Loan Party or any ERISA Affiliate from any Plan or Multiemployer Plan; or (g) the receipt by any Loan Party or any ERISA Affiliate from a Multiemployer Plan of any notice, or the receipt by any Multiemployer Plan from the Borrower or any ERISA Affiliate of any notice, concerning the imposition upon any Loan Party or any ERISA Affiliate of Withdrawal Liability or a determination that a Multiemployer Plan is, or is expected to be, insolvent, within the meaning of Section 4245 of ERISA.</w:t>
      </w:r>
    </w:p>
    <w:p>
      <w:pPr>
        <w:spacing w:after="0" w:line="192"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two TARGET Days prior to the commencement of such Interest Period.</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the applicable date of determination. If such page or service ceases to be available, the Administrative Agent may specify another page or service displaying the relevant rate after consultation with the Borrower.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shall have the meaning set forth in the Security Agreement.</w:t>
      </w:r>
    </w:p>
    <w:p>
      <w:pPr>
        <w:spacing w:after="0" w:line="22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(1) any Excluded Real Property and all leasehold interests in real property, (2)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(3) assets in respect of which pledges and security interests</w:t>
      </w:r>
    </w:p>
    <w:p>
      <w:pPr>
        <w:spacing w:after="0" w:line="3" w:lineRule="exact"/>
        <w:rPr>
          <w:sz w:val="20"/>
          <w:szCs w:val="20"/>
          <w:color w:val="auto"/>
        </w:rPr>
      </w:pPr>
    </w:p>
    <w:p>
      <w:pPr>
        <w:ind w:left="5424" w:right="4900" w:hanging="5424"/>
        <w:spacing w:after="0" w:line="356" w:lineRule="auto"/>
        <w:tabs>
          <w:tab w:leader="none" w:pos="26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prohibited or restricted by any law or regulation or any contractual obligation 24</w:t>
      </w:r>
    </w:p>
    <w:p>
      <w:pPr>
        <w:sectPr>
          <w:pgSz w:w="11900" w:h="16838" w:orient="portrait"/>
          <w:cols w:equalWidth="0" w:num="1">
            <w:col w:w="10984"/>
          </w:cols>
          <w:pgMar w:left="436" w:top="270" w:right="479" w:bottom="1440" w:gutter="0" w:footer="0" w:header="0"/>
        </w:sectPr>
      </w:pPr>
    </w:p>
    <w:bookmarkStart w:id="35" w:name="page36"/>
    <w:bookmarkEnd w:id="35"/>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any requirement to obtain the consent of any third party) (other than the Borrower or any Subsidiary), in each case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any such prohibitions, such assets shall automatically cease to constitute Excluded Assets or (y) would require a governmental (including regulatory) consent, approval, license or authorization in order to provide the lien that is required on the Effective Date or at the time the relevant Subsidiary Guarantor becomes a Subsidiary Guarantor, (4) Equity Interests in any entity other than Wholly-Owned Subsidiaries to the extent pledges thereof are not permitted by such entity’s organizational or joint venture documents or any contractual obligation of such Person, to the extent such contractual obligation is permitted under the Loan Documents (unless any such restriction would be rendered ineffective pursuant to Sections 9-406, 9-407, 9-408, 9-409 or other applicable provisions of the UCC of any relevant jurisdiction or any other applicable law), (5) assets subject to certificates of title, letter of credit rights (other than to the extent the security interest in such letter of credit right may be perfected by the filing of UCC financing statements) with an individual value of less than $15,000,000 and commercial tort claims with an individual value of less than $15,000,000, (6) any lease, license or other agreement or any property subject thereto or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the Borrower or a Subsidiary Guarantor)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or any asset subject to Liens securing permitted acquired Indebtedness (limited to the acquired assets and to the extent a grant of a security interest therein is prohibited thereby or otherwise requires a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any such term, such assets shall automatically cease to constitute Excluded Assets, (7) Excluded Accounts, (8) [reserved], (9) Equity Interests in Domestic Foreign Holding Companies and Foreign Subsidiaries that are CFCs, in each case, in excess of the Applicable Pledge Percentage; (10) accounts receivable and related assets transferred, pledged, factored, sold or purportedly transferred pursuant to, and in accordance with, a permitted receivables financing and any deposit account that is used to hold collections on any of such accounts receivable and related assets;</w:t>
      </w:r>
    </w:p>
    <w:p>
      <w:pPr>
        <w:spacing w:after="0" w:line="8" w:lineRule="exact"/>
        <w:rPr>
          <w:sz w:val="20"/>
          <w:szCs w:val="20"/>
          <w:color w:val="auto"/>
        </w:rPr>
      </w:pPr>
    </w:p>
    <w:p>
      <w:pPr>
        <w:ind w:left="4" w:right="80" w:hanging="4"/>
        <w:spacing w:after="0" w:line="265" w:lineRule="auto"/>
        <w:tabs>
          <w:tab w:leader="none" w:pos="3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Interests in any Subsidiary that is a captive insurance company, not-for-profit subsidiary, special purpose entity and any Subsidiary acquired pursuant to a permitted Acquisition whose pledge is restricted pursuant to permitted assumed Indebtedness with respect thereto; (12) Margin Stock;</w:t>
      </w:r>
    </w:p>
    <w:p>
      <w:pPr>
        <w:ind w:left="4" w:right="140" w:hanging="4"/>
        <w:spacing w:after="0" w:line="253" w:lineRule="auto"/>
        <w:tabs>
          <w:tab w:leader="none" w:pos="3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to the extent a security interest in such asset would result in material adverse Tax consequences as reasonably determined by the Borrower in good faith and (14) those assets as to which the cost, burden, difficulty or consequence of obtaining such a security interest or perfection thereof outweighs, or are excessive in relation to, the practical benefit to the Lenders of the security to be afforded thereby, as reasonably determined in good faith by the Borrower. Notwithstanding the foregoing, Excluded Assets shall not include any proceeds, products, substitutions or replacements of Excluded Assets (unless such proceeds, products, substitutions or replacements would otherwise constitute Excluded Assets).</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Real Property</w:t>
      </w:r>
      <w:r>
        <w:rPr>
          <w:rFonts w:ascii="Times New Roman" w:cs="Times New Roman" w:eastAsia="Times New Roman" w:hAnsi="Times New Roman"/>
          <w:sz w:val="18"/>
          <w:szCs w:val="18"/>
          <w:color w:val="auto"/>
        </w:rPr>
        <w:t xml:space="preserve">” means (a) any owned real property having a fair market value of $50,000,000 or less, as determined in good faith by the Borrower at the time of acquisition thereof, (b) any real property located outside of the United States, (c) any leasehold rights and interests in real property and (d) the Designated Property to the extent (i) subject to a Designated Property Financing and (ii) pledges of and security interests in the Designated Property are prohibited or restricted by the Designated Property Financing (including any requirement to obtain the consent of any party other than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the Designated Property Financing or any such prohibition or consent requirement, the Designated Property shall automatically cease to constitute Excluded Real Property.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36" w:name="page37"/>
    <w:bookmarkEnd w:id="36"/>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Domestic Foreign Holding Company, (b) any Domestic Subsidiary that is a direct or indirect Subsidiary of a Domestic Foreign Holding Company or a CFC, (c) any Domestic Subsidiary (i) that is prohibited or restricted from Guaranteeing the Secured Obligations by (A) any law or regulation or (B) any contractual obligation (including any requirement to obtain the consent of any third party (other than the Borrower or any Subsidiary)) that,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exists on the Effective Date or at the time such Subsidiary becomes a Subsidiary and was not incurred in contemplation of its becoming a Subsidiary (including pursuant to assumed Indebtedness, so long as such Indebtedness is permitted to be assumed under this Agreement), (ii) that would require a governmental (including regulatory) consent, approval, license or authorization in order to provide a Guarantee of the Secured Obligations that is required on the Effective Date or at the time such Subsidiary becomes a Subsidiary or</w:t>
      </w:r>
    </w:p>
    <w:p>
      <w:pPr>
        <w:spacing w:after="0" w:line="3" w:lineRule="exact"/>
        <w:rPr>
          <w:sz w:val="20"/>
          <w:szCs w:val="20"/>
          <w:color w:val="auto"/>
        </w:rPr>
      </w:pPr>
    </w:p>
    <w:p>
      <w:pPr>
        <w:ind w:left="4" w:right="40" w:hanging="4"/>
        <w:spacing w:after="0" w:line="252"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provision of a Guarantee by such Subsidiary of the Secured Obligations would result in adverse Tax consequences to the Borrower and/or its direct or indirect Subsidiaries as determined in good faith by the Borrower in consultation with the Administrative Agent, (d) any Subsidiary that is a captive insurance company, a not-for-profit subsidiary or special purpose entity, (e) any Domestic Subsidiary that is not a direct or indirect wholly-owned Subsidiary of the Borrower and (f) those Domestic Subsidiaries as to which the Administrative Agent and the Borrower reasonably agree that the cost, burden, difficulty or consequence of obtaining a Guarantee of the Secured Obligations from such Subsidiary outweighs, or are excessive in relation to, the practical benefit to the Lenders of the Guarantee to be afforded thereby.</w:t>
      </w:r>
    </w:p>
    <w:p>
      <w:pPr>
        <w:spacing w:after="0" w:line="190"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89" w:lineRule="exact"/>
        <w:rPr>
          <w:sz w:val="20"/>
          <w:szCs w:val="20"/>
          <w:color w:val="auto"/>
        </w:rPr>
      </w:pPr>
    </w:p>
    <w:p>
      <w:pPr>
        <w:ind w:left="4" w:right="3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right="200" w:hanging="4"/>
        <w:spacing w:after="0" w:line="252"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(d) any withholding Taxes imposed under FATCA.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7" w:name="page38"/>
    <w:bookmarkEnd w:id="3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means any license to develop and commercialize a drug or other product line of any Person with a term greater than 10 years and made on an exclusive basis.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xml:space="preserve">” means any letter of credit that is issued by any Issuing Bank for the account of the Borrower or any Loan Party and, subject to compliance with the requirements set forth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as to the maximum LC Exposure and expiration of Letters of Credit, is designated as an Existing Letter of Credit by written notice thereof by the Borrower and such Issuing Bank to the Administrative Agent (which notice shall contain a representation and warranty by the Borrower as of the date thereof that the conditions precedent set forth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xml:space="preserve"> shall be satisfied immediately after giving effect to such designation).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Controls</w:t>
      </w:r>
      <w:r>
        <w:rPr>
          <w:rFonts w:ascii="Times New Roman" w:cs="Times New Roman" w:eastAsia="Times New Roman" w:hAnsi="Times New Roman"/>
          <w:sz w:val="18"/>
          <w:szCs w:val="18"/>
          <w:color w:val="auto"/>
        </w:rPr>
        <w:t>” means the Arms Export Control Act and the International Traffic in Arms Regulations administered by the Directorate of Defense Trade Controls of the U.S. Department of State, the Export Control Reform Act of 2018 and Export Administration Regulations administered by the Bureau of Industry and Security of the U.S. Department of Commerce, and any other U.S. or non-U.S. laws and regulations related to export controls and applicable to the Borrower.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3.07(b)(i)(A)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means any “federal health care program” as defined in 42 U.S.C. §1320a-7b(f), including Medicare, managed Medicare, state Medicaid programs, managed Medicaid, state Medicaid waiver programs, state CHIP programs, TRICARE, “state health care programs” as defined in 42 U.S.C. §1320a-7(h), and similar federal, state or local health care programs or successor programs funded in whole or in part by a Governmental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Release Conditions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vice president of finance, principal accounting officer, treasurer or controller of the Borrower or any other Person designated as a “Financial Officer” by any of the foregoing officers in writing to the Administrative Agent and reasonably acceptable to the Administrative Agent.</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xml:space="preserve">” means the annual or quarterly financial statements, and accompanying certificates and other documents, of the Borrower and its Subsidiaries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means an intercreditor agreement with respect to any Liens on the Collateral that are intended to rank pari passu with the Liens securing the Obligations in a form reasonably satisfactory to the Administrative Agent (pursuant to Required Lenders Negative Consent) and the Borrower.</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Tier Foreign Subsidiary</w:t>
      </w:r>
      <w:r>
        <w:rPr>
          <w:rFonts w:ascii="Times New Roman" w:cs="Times New Roman" w:eastAsia="Times New Roman" w:hAnsi="Times New Roman"/>
          <w:sz w:val="18"/>
          <w:szCs w:val="18"/>
          <w:color w:val="auto"/>
        </w:rPr>
        <w:t>” means each Foreign Subsidiary with respect to which any one or more of the Loan Parties directly owns more than 50% of such Foreign Subsidiary’s issued and outstanding Equity Interests.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means, as of any date of determination, (a) the greater of (i) $1,000,000,000 and (ii) 100% of Consolidated EBITDA for the most recently ended Test Period less (b) the aggregate principal amount of Incremental Loans, Incremental Commitments and Incremental Equivalent Debt established prior to such date in reliance on the Fixed Incremental Amount and not subsequently reclassified as having been incurred in reliance on the Incremental Ratio Basket.</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Alternate Base Rate, the Term SOFR Rate, the Adjusted EURIBOR Rate, the Adjusted TIBOR Rate, Adjusted AUD Rate, each Daily Simple RFR Rate, the Japanese Prime Rate or the Central Bank Rate, as applicable. For the avoidance of doubt the initial Floor for each of the Term SOFR Rate, the Adjusted EURIBOR Rate, Adjusted TIBOR Rate, Adjusted AUD Rate, each Daily Simple RFR Rate, the Japanese Prime Rate and the Central Bank Rate shall be 0.0% and the initial Floor for the Alternate Base Rate shall be 1.0%.</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(or, if the Lender is a disregarded entity for U.S. federal income tax purposes, the Person treated as the owner of the assets of such Lender for U.S. federal income tax purposes) that is not a U.S.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Clinical Practices</w:t>
      </w:r>
      <w:r>
        <w:rPr>
          <w:rFonts w:ascii="Times New Roman" w:cs="Times New Roman" w:eastAsia="Times New Roman" w:hAnsi="Times New Roman"/>
          <w:sz w:val="18"/>
          <w:szCs w:val="18"/>
          <w:color w:val="auto"/>
        </w:rPr>
        <w:t>” means standards for the design, conduct, performance, monitoring, auditing, recording, analysis, and reporting of clinical trials promulgated by applicable Regulatory Authorities, including 21 C.F.R. Parts 11, 50, 54, 56 and 312.</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Laboratory Practices</w:t>
      </w:r>
      <w:r>
        <w:rPr>
          <w:rFonts w:ascii="Times New Roman" w:cs="Times New Roman" w:eastAsia="Times New Roman" w:hAnsi="Times New Roman"/>
          <w:sz w:val="18"/>
          <w:szCs w:val="18"/>
          <w:color w:val="auto"/>
        </w:rPr>
        <w:t>” means standards for conducting non-clinical laboratory studies promulgated by applicable Regulatory Authorities, including those set forth in 21 C.F.R. Part 58.</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Manufacturing Practices</w:t>
      </w:r>
      <w:r>
        <w:rPr>
          <w:rFonts w:ascii="Times New Roman" w:cs="Times New Roman" w:eastAsia="Times New Roman" w:hAnsi="Times New Roman"/>
          <w:sz w:val="18"/>
          <w:szCs w:val="18"/>
          <w:color w:val="auto"/>
        </w:rPr>
        <w:t>” means current good manufacturing practices promulgated by applicable Regulatory Authorities, including those set forth in 21 C.F.R. Parts 210 and 211, 600, 606, 610 and 820.</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left="4"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Borrower in good faith.</w:t>
      </w:r>
    </w:p>
    <w:p>
      <w:pPr>
        <w:spacing w:after="0" w:line="188" w:lineRule="exact"/>
        <w:rPr>
          <w:sz w:val="20"/>
          <w:szCs w:val="20"/>
          <w:color w:val="auto"/>
        </w:rPr>
      </w:pPr>
    </w:p>
    <w:p>
      <w:pPr>
        <w:jc w:val="both"/>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Guaranty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(including any and all supplements thereto) and executed by each Subsidiary Guarantor, as amended, restated, supplemented or otherwise modified from time to time.</w:t>
      </w:r>
    </w:p>
    <w:p>
      <w:pPr>
        <w:spacing w:after="0" w:line="162"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per- and polyfluoroalkyl substances, radon gas, infectious or medical wastes and all other substances or wastes of any nature regulated pursuant to any Environmental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 all applicable local, state, federal and foreign health care laws, including but not limited to laws related to</w:t>
      </w:r>
    </w:p>
    <w:p>
      <w:pPr>
        <w:spacing w:after="0" w:line="27" w:lineRule="exact"/>
        <w:rPr>
          <w:sz w:val="20"/>
          <w:szCs w:val="20"/>
          <w:color w:val="auto"/>
        </w:rPr>
      </w:pPr>
    </w:p>
    <w:p>
      <w:pPr>
        <w:ind w:left="4" w:hanging="4"/>
        <w:spacing w:after="0" w:line="250"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fraud and abuse, including the Federal Anti-Kickback Statute (42 U.S.C. § 1320a-7b), the Federal False Claims Act (31 U.S.C. §§ 3729, et seq.), the Federal Civil Monetary Penalties Law (42 U.S.C. § 1320a-7a), the Federal Program Fraud Civil Remedies Act (31 U.S.C. § 3801 et seq.), the Federal Health Care Fraud law (18 U.S.C. § 1347), the criminal false claims and false statements statutes (e.g., 42 U.S.C. § 1320a-7b(a), 18 U.S.C. §§ 286, 287, 1347, 1349, and 1001), the Stark law (42 U.S.C. § 1395nn), the Physician Payment Sunshine Act (42 U.S.C. § 1320a-7h), the Federal Health Care Program Overpayment Statute (42 U.S.C. § 1320a-7k(d)) and the exclusion authorities (42 U.S.C. § 1320a-7), (ii) the Medicare Secondary Payor Statute (42 U.S.C. § 1395y(b)), (iii) the Clinical Laboratory Improvement Amendments (42 U.S.C. § 263a), (iv) health information privacy, including the Health Insurance Portability and Accountability Act of 1996 (42 U.S.C. § 1320d et seq.), the Health Information Technology for Economic and Clinical Health Act of 2009 (42 U.S.C. §§ 17921 et seq.), the U.S. Federal Trade Commission health breach notification rule, and state laws regulating health information privacy, security, and breaches, (v) the safety, efficacy, research, formulation, development, manufacture, ownership, testing, storage, transportation, distribution, supply, packaging, processing, use, distribution, marketing, labeling, promotion, advertising, holding, import or export, disposal or sale or offer for sale of any product, service, operation or activity of the Loan Parties, including, without limitation, the U.S. Federal Food, Drug and Cosmetic Act (21 U.S.C. § 301 et seq.), the Controlled Substances Act (21 U.S.C. § 801 et seq.), the Public Health Service Act (42 U.S.C. § 201 et seq.), the Prescription Drug User Fee Act, and (vi) Good Manufacturing Practices, good distribution practices, Good Laboratory Practices, Good Clinical Practices, and legally enforced or binding pharmaceutical industry guidelines; (b) applicable laws applicable to Federal Health Care Programs, including the Medicare statute (Title XVIII of the Social Security Act) and the Medicaid Statute (Title XIX of the Social Security Act), and laws applicable to claims for reimbursement submitted by the Loan Parties or their respective businesses to any third-party payor that is not a Federal Health Care Program; (c) licensure, quality, safety and accreditation requirements under applicable federal, state, local or foreign laws or regulations; (d) the Inflation Reduction Act; and (e) government pricing and price reporting laws, including the Medicaid Drug Rebate Program</w:t>
      </w:r>
    </w:p>
    <w:p>
      <w:pPr>
        <w:spacing w:after="0" w:line="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U.S.C. § 1396r-8)</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state supplemental rebate program, Medicare average sales price reporting (42 U.S.C. § 1395w-3a), the Public Health Service Act (42 U.S.C.</w:t>
      </w:r>
    </w:p>
    <w:p>
      <w:pPr>
        <w:spacing w:after="0" w:line="27" w:lineRule="exact"/>
        <w:rPr>
          <w:sz w:val="20"/>
          <w:szCs w:val="20"/>
          <w:color w:val="auto"/>
        </w:rPr>
      </w:pPr>
    </w:p>
    <w:p>
      <w:pPr>
        <w:ind w:left="4" w:right="40" w:hanging="4"/>
        <w:spacing w:after="0" w:line="253" w:lineRule="auto"/>
        <w:tabs>
          <w:tab w:leader="none" w:pos="1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256b), the VA Federal Supply Schedule (38 U.S.C. § 8126), state laws creating prescription drug price affordability boards to review or attempt to cap drug pricing, and any successor government programs; (f) with respect to (a)-(e), any similar laws of any Governmental Authority (including any successor Governmental Authority that implements, enforces or otherwise has authority relating to such laws); (g) the regulations promulgated under, pursuant to, or that implement the laws in (a)-(f); and (h) any amendments to the laws and regulations in (a)-(g).</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Permits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3.07(b)(iv)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the Borrower executed by each of (a) the Borrower, (b) the Administrative Agent and (c) each Lender that agrees to provide all or any portion of the Incremental Facility being incurred pursuant thereto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4" w:hanging="244"/>
        <w:spacing w:after="0"/>
        <w:tabs>
          <w:tab w:leader="none" w:pos="6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Voluntary Prepayment Amount,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Incremental Amount; </w:t>
      </w:r>
      <w:r>
        <w:rPr>
          <w:rFonts w:ascii="Times New Roman" w:cs="Times New Roman" w:eastAsia="Times New Roman" w:hAnsi="Times New Roman"/>
          <w:sz w:val="18"/>
          <w:szCs w:val="18"/>
          <w:u w:val="single" w:color="auto"/>
          <w:color w:val="auto"/>
        </w:rPr>
        <w:t>plus</w:t>
      </w:r>
    </w:p>
    <w:p>
      <w:pPr>
        <w:spacing w:after="0" w:line="223" w:lineRule="exact"/>
        <w:rPr>
          <w:rFonts w:ascii="Times New Roman" w:cs="Times New Roman" w:eastAsia="Times New Roman" w:hAnsi="Times New Roman"/>
          <w:sz w:val="18"/>
          <w:szCs w:val="18"/>
          <w:color w:val="auto"/>
        </w:rPr>
      </w:pPr>
    </w:p>
    <w:p>
      <w:pPr>
        <w:ind w:left="4" w:right="80" w:firstLine="436"/>
        <w:spacing w:after="0" w:line="270" w:lineRule="auto"/>
        <w:tabs>
          <w:tab w:leader="none" w:pos="68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additional amount so long as, in the case of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after giving effect to the incurrence of the applicable Indebtedness and the application of the proceeds thereof and in the case of any revolving credit facility or delayed draw term loan facility, assuming a full drawing of such revolving credit facility or delayed draw term loan facility, as applicable, (i) if such Incremental Facility or Incremental Equivalent Debt is secured by Liens on Collateral that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Obligations, the Secured Net Leverage Ratio does not exceed 3.00:1.00 and (ii) if such Incremental Equivalent Debt is (x) secured by Liens on Collateral that rank junior to the Liens securing the Obligations or</w:t>
      </w:r>
    </w:p>
    <w:p>
      <w:pPr>
        <w:ind w:left="4" w:right="160" w:hanging="4"/>
        <w:spacing w:after="0" w:line="260"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the Borrower shall be in compliance (on a pro forma basis) with the Financial Covenants, in each case ((i) and (ii)), as of the last day of the most recently ended Test Period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Incremental Ratio Basket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Incremental Facility or Incremental Equivalent Debt may be incurred under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definition as selected by the Borrower in its sole discretion, (ii) if any Incremental Facility or Incremental Equivalent Debt is intended to be incurred or implemented in reliance on the Incremental Ratio Basket and any other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in a single transaction or series of related transactions, (x) the permissibility of the portion of such Incremental Facility or Incremental Equivalent Debt that is incurred or implemented in reliance on the Incremental Ratio Basket will be determined without giving effect to (1) any portion of such Incremental Facility or Incremental Equivalent Debt to be incurred or implemented in reliance on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and/or (2) any simultaneous or substantially concurrent incurrence of any Indebtedness based on a basket or exception that is not based on a financial ratio, but giving full pro forma effect to the use of proceeds of the entire amount of the loans and commitments that will be incurred in reliance on each applicable provision of the Incremental Cap and the related transactions, and (y) thereafter, the permissibility of the portion of the Incremental Facility or Incremental Equivalent Debt to be incurred or implemented, as applicable, under</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2" w:name="page43"/>
    <w:bookmarkEnd w:id="42"/>
    <w:p>
      <w:pPr>
        <w:ind w:left="4"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will be determined, (iii) unless the Borrower elects otherwise, any Incremental Facility or Incremental Equivalent Debt will be deemed incurred first under the Incremental Ratio Basket to the extent permitted (and calculated prior to giving effect to any simultaneous or subsequent incurrence of any Indebtedness based on a basket or exception that is not based on a financial ratio, with any balance incurred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(iv) any portion of any Incremental Facility or Incremental Equivalent Debt incurred or implemented in reliance on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will, unless the Borrower otherwise elects, automatically be reclassified from time to time after the incurrence or implementation of such Incremental Facility or Incremental Equivalent Debt as having been incurred in reliance on the Incremental Ratio Basket if the leverage ratio test under the Incremental Ratio Basket is satisfied on a pro forma basis at such time.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an Incremental Revolving Commitment or a commitment to provide an Incremental Term Loan.</w:t>
      </w:r>
    </w:p>
    <w:p>
      <w:pPr>
        <w:spacing w:after="0" w:line="225"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means Indebtedness of the Borrower or any other Loan Party in respect of one or more series of senior or subordinated notes or loans (or commitments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of Incremental Equivalent Debt and any Incremental Facilities shall not exceed the Incremental Cap, (b) such Incremental Equivalent Debt shall (i) not be guaranteed by any Person which is not a Loan Party and (ii) if secured, shall not be secured by any assets other than the Collateral and shall be secured by any such Collateral solely on a pari passu or junior lien basis to the Liens on such Collateral securing the Obligations, (c)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no Event of Default shall exist immediately prior to or after giving effect to such incurrence, (d) any amortization schedule applicable to any Incremental Equivalent Debt in the form of term loans shall be customary for similar term loans in light of then-prevailing market conditions at the time of incurrence thereof, (e) if such Incremental Equivalent Debt is (i) secured by Liens ranking pari passu with the Liens securing the Obligations, then such Incremental Equivalent Debt shall be subject to a First Lien Intercreditor Agreement or (ii) secured by Liens ranking junior to the Liens securing the Obligations, then such Incremental Equivalent Debt shall be subject to a Junior Lien Intercreditor Agreement, (f) except with respect to customary bridge financings that, subject to customary conditions (as determined by the Borrower in good faith), provide for an automatic extension of the maturity date thereof to a date that satisfies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the final maturity date with respect to any Incremental Equivalent Debt shall be no earlier than the Maturity Date, (g) subject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(f) above, the pricing, interest rates, rate floors, discounts, fees, optional prepayment or redemption premiums and amortization schedule applicable to any Incremental Equivalent Debt shall be determined by the borrower and the lenders thereunder, and (h) except as otherwise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any Incremental Equivalent Debt shall be on terms and pursuant to documentation to be determined by the borrower and the lenders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permitted by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to the extent such terms are not consistent with the terms of the Revolving Loans, they shall be no more restrictive to the Borrower in any material respect (taken as a whole and as reasonably determined by the Borrower and taking into consideration the nature of such facility) than the terms of the Revolving Loans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-704850</wp:posOffset>
            </wp:positionV>
            <wp:extent cx="142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ind w:left="4" w:hanging="4"/>
        <w:spacing w:after="0" w:line="252" w:lineRule="auto"/>
        <w:tabs>
          <w:tab w:leader="none" w:pos="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or other provisions applicable only to periods after the Maturity Date or (ii) any more-restrictive terms or conditions, to the extent that such terms or conditions are also added for the benefit of the outstanding Loans and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such more-restrictive terms or conditions may be added for the benefit of the outstanding Loans and Revolving Commitments pursuant to an amendment entered into between the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shall (and the Lenders hereby irrevocably authorize the Administrative Agent to) enter into any amendment to any Loan Document as may be necessary in order to add such more-restrictive terms upon the Borrower’s written request)).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 Incremental Revolving Facility and/or an Incremental Term Facility, as the context may require.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3" w:name="page44"/>
    <w:bookmarkEnd w:id="4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Ratio Basket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“Incremental Cap”.</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means the revolving commitments in respect of any Incremental Revolving Facility.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acquired by such Person, (e) all obligations of such Person in respect of the deferred purchase price of property or services (excluding (x) accounts payable in the ordinary course of business, (y) any earn-out, deferred, royalty, milestone or similar obligations until such obligation becomes a liability on the balance sheet of such Person in accordance with GAAP and not paid within 10 Business Days of becoming due and payable or that is disputed in good faith and for which the Borrower or its Subsidiary, as applicable, has set aside on its books adequate reserves to the extent required by GAAP and (z) expenses accrued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Person has not assumed or otherwise become liable in respect of such Indebtedness, such obligations shall be deemed to be in an amount equal to the lesser of (i) the amount of such Indebtedness and</w:t>
      </w:r>
    </w:p>
    <w:p>
      <w:pPr>
        <w:spacing w:after="0" w:line="4" w:lineRule="exact"/>
        <w:rPr>
          <w:sz w:val="20"/>
          <w:szCs w:val="20"/>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property at the time of determination (in the Borrower’s good faith estimate), (g) all Guarantees by such Person of</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Sale and Leaseback Transactions and (l) all obligations of such Person in respect of Disqualified Equity.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in respect of a portion of the purchase price of an asset to satisfy warranty or other unperformed obligations of the respective seller, (iii) obligations under Sale and Leaseback Transactions to the extent such obligations are not reflected as a liability on the consolidated balance sheet of the Borrower,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4" w:name="page45"/>
    <w:bookmarkEnd w:id="44"/>
    <w:p>
      <w:pPr>
        <w:ind w:left="4" w:right="200" w:hanging="4"/>
        <w:spacing w:after="0" w:line="281" w:lineRule="auto"/>
        <w:tabs>
          <w:tab w:leader="none" w:pos="3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milestone payments, (v) obligations under any Swap Agreements, including any such obligations which is a forward equity commitment or confirmation or forward equity sale agreement, any Permitted Bond Hedge Transaction or any Permitted Warrant Transaction, (vi) accruals for payroll and other similar employee liabilities accrued in the ordinary course of business or (vii) any obligations under a Receivables Purchase Transaction (to the extent such obligations are not or are not required to be shown as liabilities on the balance sheet of such Person in accordance with GAAP).</w:t>
      </w:r>
    </w:p>
    <w:p>
      <w:pPr>
        <w:spacing w:after="0" w:line="164"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hereof, Other Taxes.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 priorities and privileges relating to intellectual property, whether arising under United States, multinational or foreign laws or otherwise, including, without limitation, copyrights, patents, trademarks (including the goodwill associated therewith), domain names, trade secrets, technology, know-how and processes, and all applications and registrations for any of the foregoing,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spacing w:after="0" w:line="18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which shall be substantially in the form approved by the Administrative Agent and the Borrower.</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w:t>
      </w:r>
    </w:p>
    <w:p>
      <w:pPr>
        <w:spacing w:after="0" w:line="18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(x) with respect to any Term Benchmark Borrowing, denominated in Dollars, Euros, Yen or Australian Dollars, the period commencing on the date of such Borrowing and ending on the numerically corresponding day in the calendar month that is one, three or six months thereafter (in each case, subject to the availability of the Benchmark applicable to the relevant Loan or Commitment for any Agreed Currency),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shall be available for specification in such Borrowing Request or Interest Election Request unless reinstated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For purposes hereof, the date of a Borrowing initially shall be the date on which such Borrowing is made and thereafter shall be the effective date of the most recent conversion or continuation of such Borrowing.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5" w:name="page46"/>
    <w:bookmarkEnd w:id="4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individually and collectively, each of JPMorgan Chase Bank, N.A., Bank of America, N.A., Citibank, N.A., Goldman Sachs Bank USA, Wells Fargo Bank, National Association and any other Revolving Lender that agrees to act as an Issuing Bank, each in its capacity as the issuer of Letters of Credit hereunder, and its successors in such capacity as provided in </w:t>
      </w:r>
      <w:r>
        <w:rPr>
          <w:rFonts w:ascii="Times New Roman" w:cs="Times New Roman" w:eastAsia="Times New Roman" w:hAnsi="Times New Roman"/>
          <w:sz w:val="18"/>
          <w:szCs w:val="18"/>
          <w:u w:val="single" w:color="auto"/>
          <w:color w:val="auto"/>
        </w:rPr>
        <w:t>Section 2.06(i)</w:t>
      </w:r>
      <w:r>
        <w:rPr>
          <w:rFonts w:ascii="Times New Roman" w:cs="Times New Roman" w:eastAsia="Times New Roman" w:hAnsi="Times New Roman"/>
          <w:sz w:val="18"/>
          <w:szCs w:val="18"/>
          <w:color w:val="auto"/>
        </w:rPr>
        <w:t>. Each Issuing Bank may, in its discretion, arrange for one or more Letters of Credit to be issued by its Affiliates,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18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Prime Rate</w:t>
      </w:r>
      <w:r>
        <w:rPr>
          <w:rFonts w:ascii="Times New Roman" w:cs="Times New Roman" w:eastAsia="Times New Roman" w:hAnsi="Times New Roman"/>
          <w:sz w:val="18"/>
          <w:szCs w:val="18"/>
          <w:color w:val="auto"/>
        </w:rPr>
        <w:t>” means for any Loan denominated in Yen the greater of (a) (i) the Japanese local bank prime rate plus (ii) the Japanese Prime Rate Adjustment and (b) the Floor.</w:t>
      </w:r>
    </w:p>
    <w:p>
      <w:pPr>
        <w:spacing w:after="0" w:line="162" w:lineRule="exact"/>
        <w:rPr>
          <w:sz w:val="20"/>
          <w:szCs w:val="20"/>
          <w:color w:val="auto"/>
        </w:rPr>
      </w:pPr>
    </w:p>
    <w:p>
      <w:pPr>
        <w:jc w:val="both"/>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Japanese Prime Rate Adjustment</w:t>
      </w:r>
      <w:r>
        <w:rPr>
          <w:rFonts w:ascii="Times New Roman" w:cs="Times New Roman" w:eastAsia="Times New Roman" w:hAnsi="Times New Roman"/>
          <w:sz w:val="17"/>
          <w:szCs w:val="17"/>
          <w:color w:val="auto"/>
        </w:rPr>
        <w:t>” means, for any day, for any Loan denominated in Yen, a rate equal to the difference (which may be a positive or negative value or zero) of (i) the average of the TIBOR Rate for the five most recent Business Days preceding such day for which the TIBOR Screen Rate was available (excluding, from such averaging, the highest and the lowest TIBOR Rate applicable during such period of five Business Days) minus</w:t>
      </w:r>
    </w:p>
    <w:p>
      <w:pPr>
        <w:spacing w:after="0" w:line="2" w:lineRule="exact"/>
        <w:rPr>
          <w:sz w:val="20"/>
          <w:szCs w:val="20"/>
          <w:color w:val="auto"/>
        </w:rPr>
      </w:pPr>
    </w:p>
    <w:p>
      <w:pPr>
        <w:ind w:left="4" w:right="100" w:hanging="4"/>
        <w:spacing w:after="0" w:line="253"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Japanese Prime Rate in effect on the last Business Day in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definition, the Japanese Prime Rate shall be determined disregarding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the definition of such term. For purposes of this definition, the TIBOR Rate on any day shall be based on the TIBOR Screen Rate on such day at approximately the time referred to in the definition of such term for deposits in Yen for a maturity of one month.</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collectively, any Indebtedness for borrowed money of the Borrower or any of its Subsidiaries that is (x) secured by a Lien on the Collateral that is junior in priority to the Lien on the Collateral securing the Secured Obligations or (y) Subordinated Indebtedness.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 Documents</w:t>
      </w:r>
      <w:r>
        <w:rPr>
          <w:rFonts w:ascii="Times New Roman" w:cs="Times New Roman" w:eastAsia="Times New Roman" w:hAnsi="Times New Roman"/>
          <w:sz w:val="18"/>
          <w:szCs w:val="18"/>
          <w:color w:val="auto"/>
        </w:rPr>
        <w:t>” means any document, agreement or instrument evidencing or governing any Junior Indebtedness.</w:t>
      </w:r>
    </w:p>
    <w:p>
      <w:pPr>
        <w:spacing w:after="0" w:line="225" w:lineRule="exact"/>
        <w:rPr>
          <w:sz w:val="20"/>
          <w:szCs w:val="20"/>
          <w:color w:val="auto"/>
        </w:rPr>
      </w:pPr>
    </w:p>
    <w:p>
      <w:pPr>
        <w:jc w:val="both"/>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means an intercreditor agreement with respect to any Liens on the Collateral that are intended to rank junior to the Liens securing the Obligations in a form reasonably satisfactory to the Administrative Agent (pursuant to Required Lenders Negative Consent) and the Borrower.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46" w:name="page47"/>
    <w:bookmarkEnd w:id="46"/>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shall mean and refer to (i) the actual knowledge of a Responsible Officer of any Loan Party or (ii) the knowledge that such Responsible Officer would have obtained if such officer had engaged in good faith and diligent performance of such officer’s duties. For the avoidance of doubt, “know”, “known” and “knew,” words, or phrases of similar import, relating to the knowledge or the awareness of any Loan Party used in this Agreement or any other Loan Document, shall have the respective correlative meaning thereto.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that have not yet been reimbursed by or on behalf of the Borrower at such time. The LC Exposure of any Revolving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Revolving Lender shall remain in full force and effect until the applicable Issuing Bank and the Revolving Lenders shall have no further obligations to make any payments or disbursements under any circumstances with respect to any Letter of Credit.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Reservations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wholly-owned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and any other Person that shall have become a Lender hereunder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pursuant to an Assignment and Assumption or otherwise, other than any such Person that ceases to be a party hereto pursuant to an Assignment and Assumption or otherwise. Unless the context otherwise requires, the term “Lenders” includes the Issuing Banks.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 any letter of credit issued pursuant to this Agreement and (b) any Existing Letter of Credit.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Commitments</w:t>
      </w:r>
      <w:r>
        <w:rPr>
          <w:rFonts w:ascii="Times New Roman" w:cs="Times New Roman" w:eastAsia="Times New Roman" w:hAnsi="Times New Roman"/>
          <w:sz w:val="18"/>
          <w:szCs w:val="18"/>
          <w:color w:val="auto"/>
        </w:rPr>
        <w:t xml:space="preserve">” means, with respect to each Issuing Bank, the commitment of such Issuing Bank to issue Letters of Credit hereunder. The initial amount of each Issuing Bank’s Letter of Credit Commitment is set forth on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Leverage-Based Adjustment Date</w:t>
      </w:r>
      <w:r>
        <w:rPr>
          <w:rFonts w:ascii="Times New Roman" w:cs="Times New Roman" w:eastAsia="Times New Roman" w:hAnsi="Times New Roman"/>
          <w:sz w:val="18"/>
          <w:szCs w:val="18"/>
          <w:color w:val="auto"/>
        </w:rPr>
        <w:t>” has the meaning assigned to such term in the definition of “Applicable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constitute a Lien.</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Transaction</w:t>
      </w:r>
      <w:r>
        <w:rPr>
          <w:rFonts w:ascii="Times New Roman" w:cs="Times New Roman" w:eastAsia="Times New Roman" w:hAnsi="Times New Roman"/>
          <w:sz w:val="18"/>
          <w:szCs w:val="18"/>
          <w:color w:val="auto"/>
        </w:rPr>
        <w:t>” means (a) any Acquisition, similar Investment or Disposition, in each case permitted by this Agreement, the consummation of which is not conditioned on the availability of, or on obtaining, third party financing and (b) any Restricted Payment permitted by this Agreement requiring irrevocable notice or declaration in advance of such Restricted Payment.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(including schedules and exhibits hereto), any promissory notes issued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any Letter of Credit applications, any Letter of Credit Agreement, the Collateral Documents, any Guaranty, any First Lien Intercreditor Agreement, any Junior Lien Intercreditor Agreement, any fee letters and all other agreements, instruments, documents and certificates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executed and delivered to, or in favor of, the Administrative Agent or any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Loan Documents shall not include any Banking Services Agreement or Swap Agreement.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the Subsidiary Guarantors.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 including the Revolving Loans and, if applicable, the Incremental Loans, Refinancing Loans and Extended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any Acquisition for which the Borrower or any Subsidiary makes gross upfront cash payments representing purchase consideration in excess of $100,000,000.</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condition of the Borrower and the Subsidiaries taken as a whole, (b) the ability of any Loan Party to perform any of its payment obligations under the Loan Documents or (c) the validity or enforceability of this Agreement or any other Loan Documents or the rights or remedies (taken as a whole) of the Administrative Agent and the Lenders thereunder.</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means any Disposition for which the Borrower or any Subsidiary receives gross upfront cash proceeds representing purchase consideration in excess of $100,000,000.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8" w:name="page49"/>
    <w:bookmarkEnd w:id="4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xml:space="preserve">” means each Domestic Subsidiary which, as of the most recently ended Test Period, (i) contributed greater than 5.0% of total revenues of the Borrower and its Subsidiaries on a consolidated basis for such period or (ii) contributed greater than 5.0% of Consolidated Total Assets as of the last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total revenues or Consolidated Total Assets attributable to all Domestic Subsidiaries that are not Material Domestic Subsidiaries exceeds 10.0% of total revenues of the Borrower and its Subsidiaries on a consolidated basis for the most recently ended Test Period or 10.0% of Consolidated Total Assets as of the last day of the most recently ended Test Period, the Borrower shall designate sufficient Domestic Subsidiaries as “Material Domestic Subsidiaries” to eliminate such excess, and such designated Subsidiaries shall for all purposes of this Agreement constitute Material Domestic Subsidiaries.</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xml:space="preserve">” means each Foreign Subsidiary which, as of the most recently ended Test Period, (a) contributed greater than 5.0% of total revenues of the Borrower and its Subsidiaries on a consolidated basis for such period or (b) contributed greater than 5.0% of Consolidated Total Assets as of the last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total revenues or Consolidated Total Assets attributable to all Foreign Subsidiaries that are not Material Foreign Subsidiaries exceeds 10.0% of total revenues of the Borrower and its Subsidiaries on a consolidated basis for the most recently ended Test Period or 10.0% of Consolidated Total Assets as of the last day of the most recently ended Test Period, the Borrower shall designate sufficient Foreign Subsidiaries as “Material Foreign Subsidiaries” to eliminate such excess, and such designated Subsidiaries shall for all purposes of this Agreement constitute Material Foreign Subsidiaries.</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and any intercompany Indebtedness solely between or among the Borrower and its Subsidiaries), or obligations in respect of one or more Swap Agreements, of any one or more of the Borrower and its Subsidiaries in an aggregate principal amount exceeding $100,000,000.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Material Domestic Subsidiary or a Material Foreign Subsidiary.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fifth anniversary of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such date is not a Business Day, the Maturity Date shall be the immediately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means payments under contractual obligations, in each case, made in connection with any Permitted Acquisition or other Acquisition or option with respect thereto (including any license or the acquisition of any license) of any rights in respect of any drug, biologic or other pharmaceutical product (and any related property or assets) to sellers (or licensors) of the assets or Equity Interests acquired (or licensed) therein based on the achievement of specified development, commercial, regulatory, revenue, profit or other performance targets (financial or otherwise).</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MIRE Event</w:t>
      </w:r>
      <w:r>
        <w:rPr>
          <w:rFonts w:ascii="Times New Roman" w:cs="Times New Roman" w:eastAsia="Times New Roman" w:hAnsi="Times New Roman"/>
          <w:sz w:val="18"/>
          <w:szCs w:val="18"/>
          <w:color w:val="auto"/>
        </w:rPr>
        <w:t>” means if there is any Mortgaged Property at such time, any increase, extension or renewal of any of the Commitments or Loans (including any Incremental Facilities, but excluding (i) any continuation or conversion of Borrowings, (ii) the making of any Revolving Loan or (iii) the issuance, renewal or extension of any Letter of Credit).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MIRE Notice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5.09(e)(i)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any real property that is the subject of a Mortgage pursuant to Section 5.09(b).</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“Mortgage Instruments</w:t>
      </w:r>
      <w:r>
        <w:rPr>
          <w:rFonts w:ascii="Times New Roman" w:cs="Times New Roman" w:eastAsia="Times New Roman" w:hAnsi="Times New Roman"/>
          <w:sz w:val="18"/>
          <w:szCs w:val="18"/>
          <w:color w:val="auto"/>
        </w:rPr>
        <w:t>” means such (i) ALTA title insurance policies (with customary endorsements reasonably requested by the Administrative Agent, with the insured amount not to exceed the fair market value (as determined in good faith by Borrower), or such lesser amount reasonably acceptable to the Administrative Agent), (iii) commercially reasonable evidence of zoning compliance (or legal nonconforming use), or, at the Borrower’s election, a zoning endorsement to the applicable ALTA title insurance policy, (iv) evidence of property insurance (which shall be satisfied by delivery of a certificate of insurance and endorsement naming the Administrative Agent as lender’s loss payee and mortgagee), (v) flood certifications and, if required by applicable law, flood insurance (and, if applicable FEMA form acknowledgements of insurance), (vi) opinions of counsel to the Loan Party granting the Mortgage on the applicable real property regarding customary matters related to Mortgages, (vii) ALTA surveys or, at the Borrower’s election, such other surveys as are acceptable to the applicable title insurance company (with the parties agreeing that ZipMaps and updates to existing ALTA surveys and no change affidavits are acceptable) so long as it is sufficient for the title insurance company to remove the standard survey exception and issue the customary survey related endorsements, (viii) environmental assessments and reports (limited to Phase I environmental site assessments; provided that Phase II environmental assessments shall only be required if expressly recommended by the applicable Phase I environmental site assessment), and (ix) mortgage tax affidavits, owners affidavits, gap indemnities and declarations to the extent applicable in the relevant jurisdiction or required in connection with the Mortgages or ALTA title insurance policies; all of the foregoing being in form and substance reasonably acceptable to, the Administrative Agent from time to time.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and (without duplication) the fair market value of property received other than cash, (ii) in the case of a casualty, cash insurance proceeds and (iii) in the case of a condemnation or similar event, cash condemnation awards and similar cash payments, net of (b) the sum of (i) all reasonable fees and out-of-pocket expenses and underwriting discounts and commissions paid to third parties (other than Affiliates) in connection with such event, (ii) in the case of a sale, transfer or other disposition of an asset (including pursuant to a Sale and Leaseback Transaction or a casualty event or a condemnation or similar proceeding), the amount of all payments required to be made as a result of such event to repay Indebtedness (other than Loans or Incremental Equivalent Debt (or Permitted Refinancing Indebtedness in respect of the foregoing))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year that cash proceeds in respect of such event are received, if later) or the next succeeding year and that are directly attributable to such event (as determined reasonably and in good faith by a Financial Officer).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Product</w:t>
      </w:r>
      <w:r>
        <w:rPr>
          <w:rFonts w:ascii="Times New Roman" w:cs="Times New Roman" w:eastAsia="Times New Roman" w:hAnsi="Times New Roman"/>
          <w:sz w:val="18"/>
          <w:szCs w:val="18"/>
          <w:color w:val="auto"/>
        </w:rPr>
        <w:t>” means, as of any date of determination, any Product of the Borrower or any of its Subsidiaries that generated less than $35,000,000 in revenue for the most recently ended Test Period.“</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would be less than 0.00%, such rate shall be deemed to be 0.00%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LC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51" w:name="page52"/>
    <w:bookmarkEnd w:id="5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an Alternative Currency, an overnight rate determined by the Administrative Agent or the Issuing Banks, as the case may be, in accordance with banking industry rules on interbank compensation.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Indebtedness</w:t>
      </w:r>
      <w:r>
        <w:rPr>
          <w:rFonts w:ascii="Times New Roman" w:cs="Times New Roman" w:eastAsia="Times New Roman" w:hAnsi="Times New Roman"/>
          <w:sz w:val="18"/>
          <w:szCs w:val="18"/>
          <w:color w:val="auto"/>
        </w:rPr>
        <w:t>” means Incremental Equivalent Debt secured by Liens on the Collateral that rank pari passu with the Liens securing the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of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 any Acquisition (but excluding in any event a Hostile Acquisition) if, at the time of and immediately after giving effect thereto, (i) no Event of Default has occurred and is continuing or would arise immediately after giving effect thereto, (ii) the business of the Person whose Equity Interests are being acquired or the division or line of business being acquired or relating to the assets acquired would be permitted under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(iii) all actions required to be taken with respect to such acquired or newly formed Subsidiary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shall have been taken or will be taken within the periods permitted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(iv) in the case of an Acquisition involving the Borrower, the Borrower is the surviving entity of any applicable merger and/or consolidation and in the case of an Acquisition involving a Subsidiary Guarantor, a Subsidiary Guarantor is the surviving entity of any applicable merger and/or consolidation and (v) the aggregate Acquisition Consideration (other than any portion of such Acquisition made in reliance on </w:t>
      </w:r>
      <w:r>
        <w:rPr>
          <w:rFonts w:ascii="Times New Roman" w:cs="Times New Roman" w:eastAsia="Times New Roman" w:hAnsi="Times New Roman"/>
          <w:sz w:val="18"/>
          <w:szCs w:val="18"/>
          <w:u w:val="single" w:color="auto"/>
          <w:color w:val="auto"/>
        </w:rPr>
        <w:t>Section 6.05(z)</w:t>
      </w:r>
      <w:r>
        <w:rPr>
          <w:rFonts w:ascii="Times New Roman" w:cs="Times New Roman" w:eastAsia="Times New Roman" w:hAnsi="Times New Roman"/>
          <w:sz w:val="18"/>
          <w:szCs w:val="18"/>
          <w:color w:val="auto"/>
        </w:rPr>
        <w:t xml:space="preserve">) paid in respect of any such Acquisition of a Person that does not become a Loan Party or of assets which are not owned by a Loan Party, when taken together with the aggregate Acquisition Consideration (other than any portion of such Acquisitions made in reliance on </w:t>
      </w:r>
      <w:r>
        <w:rPr>
          <w:rFonts w:ascii="Times New Roman" w:cs="Times New Roman" w:eastAsia="Times New Roman" w:hAnsi="Times New Roman"/>
          <w:sz w:val="18"/>
          <w:szCs w:val="18"/>
          <w:u w:val="single" w:color="auto"/>
          <w:color w:val="auto"/>
        </w:rPr>
        <w:t>Section 6.05(z)</w:t>
      </w:r>
      <w:r>
        <w:rPr>
          <w:rFonts w:ascii="Times New Roman" w:cs="Times New Roman" w:eastAsia="Times New Roman" w:hAnsi="Times New Roman"/>
          <w:sz w:val="18"/>
          <w:szCs w:val="18"/>
          <w:color w:val="auto"/>
        </w:rPr>
        <w:t xml:space="preserve">) paid in respect of all other similar Acquisitions made in reliance on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does not exceed the greater of $250,000,000 and 25% of Consolidated EBITDA for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cap shall not apply to any Permitted Acquisition in the event that the Acquired Loan Party Consolidated EBITDA Percentage with respect to such Permitted Acquisition is equal to or exceeds the lower of (1) 90% and (2) the percentage of Consolidated EBITDA attributable to the Loan Parties immediately prior to giving effect to such Permitted Acquisition) and (vii) the Borrower will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Covenants and (b) the Specified Acquisition.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Bond Hedge Transaction</w:t>
      </w:r>
      <w:r>
        <w:rPr>
          <w:rFonts w:ascii="Times New Roman" w:cs="Times New Roman" w:eastAsia="Times New Roman" w:hAnsi="Times New Roman"/>
          <w:sz w:val="17"/>
          <w:szCs w:val="17"/>
          <w:color w:val="auto"/>
        </w:rPr>
        <w:t xml:space="preserve">” means any call or capped call option (or substantively equivalent derivative transaction) relating to the Borrower’s common stock (or such other securities or property following a merger event, reclassification or other change of the common stock of the Borrower) that is (a) purchased or otherwise entered into by the Borrower or any Loan Party in connection with the issuance of any Permitted Convertible Debt, (b)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and (c) on terms and conditions customary for bond hedge transactions in respect of transactions related to public market convertible indebtedness (pursuant to a registered offering or an offering under Rule 144A and/or Regulation S of the Securities Act) as reasonably determined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purchase price for such Permitted Bond Hedge Transaction, less the proceeds received by the Borrower or any Loan Party from the sale of any related Permitted Warrant Transaction (or in the case of capped calls, where such proceeds are not received but are reflected in a reduction of the premium), does not exceed the amount of proceeds from the related issuance of Permitted Convertible Debt.</w:t>
      </w:r>
    </w:p>
    <w:p>
      <w:pPr>
        <w:spacing w:after="0" w:line="17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Debt</w:t>
      </w:r>
      <w:r>
        <w:rPr>
          <w:rFonts w:ascii="Times New Roman" w:cs="Times New Roman" w:eastAsia="Times New Roman" w:hAnsi="Times New Roman"/>
          <w:sz w:val="18"/>
          <w:szCs w:val="18"/>
          <w:color w:val="auto"/>
        </w:rPr>
        <w:t xml:space="preserve">” means Indebtedness issued by the Borrower or any other Loan Party that is (1) convertible into, or exchangeable for, Equity Interests of the Borrower (and cash in lieu of fractional shares) and/or cash (in an amount determined by reference to the price of such Equity Interests) and/or (2) sold as units with call options, warrants, rights or obligations to purchase (or substantially equivalent derivative transactions) that are exercisable for Equity Interests of the Borrower and/or cash (in an amount determined by reference to the price of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Permitted Convertible Debt shall be unsecured, (ii) such Permitted Convertible Debt is not guaranteed by any Subsidiary of the Borrower other than the Subsidiary Guarantors, (iii) such Permitted Convertible Debt shall not include any financial maintenance covenants and shall only include covenants and defaults that are customary for public market convertible indebtedness (pursuant to a registered offering or an offering under Rule 144A and/or Regulation S of the Securities Act), as determined by the Borrower in its good faith judgment and (iv) such Permitted Convertible Debt shall not mature, and is otherwise not subject to any mandatory prepayment, redemption, defeasance, scheduled amortization or other scheduled payments of principal, in each case prior to the date that is 91 days after the Maturity Date (it being understood that no provision providing for acceleration upon an event of default or requiring (x) an offer to purchase such Permitted Convertible Debt as a result of a change of control, asset sale or other fundamental change or (y) the applicable obligor to settle conversions or exchanges of such Permitted Convertible Debt prior to maturity shall violate the foregoing restriction).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80" w:firstLine="436"/>
        <w:spacing w:after="0" w:line="266"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and special assessments (including community facilities district assessments, local improvement district assessments, and similar governmental or quasi-governmental charges assessed against real property) that are not yet due or that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Liens for unpaid utility charges;</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carriers’, warehousemen’s, mechanics’, materialmen’s, repairmen’s, supplier’s, construction contractors’, airports’, navigation authority’s and other like Liens imposed by law, arising in the ordinary course of business and securing obligations that are not overdue by more than 60 days or are being contested in compliance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0" w:firstLine="436"/>
        <w:spacing w:after="0" w:line="266"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3" w:name="page54"/>
    <w:bookmarkEnd w:id="53"/>
    <w:p>
      <w:pPr>
        <w:jc w:val="both"/>
        <w:ind w:left="4" w:right="160" w:firstLine="436"/>
        <w:spacing w:after="0" w:line="266"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pledges and deposits to secure the performance of bids, trade contracts, government contracts, leases, statutory obligations, customer deposit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7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judgment Liens in respect of judgments that do not constitute an Event of Default under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 xml:space="preserve">, (ii) Liens securing appeal or surety bonds related to such judgments and (iii)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or similar notices and associated rights related to litigation being contested in good faith by appropriate proceedings and in respect of which, if applicable, the Borrower or any affected Subsidiary has set aside on its books adequate reserves in accordance with GAAP;</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rights of others for, licenses, rights-of-way, servitudes, sewers, electric lines, drains, telegraph and telephone and cable television lines, gas and oil pipelines and other similar purposes, reservations of rights or zoning, building codes and similar restrictions, charges or encumbrances on real property now existing, imposed by law or arising in the ordinary course of business that do not secure substantial monetary obligations and do not materially detract from the value of the affected property or materially interfere with the ordinary conduct of business of the Borrower and its Subsidiaries, taken as a whole;</w:t>
      </w:r>
    </w:p>
    <w:p>
      <w:pPr>
        <w:spacing w:after="0" w:line="18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and sublicenses, or subleases granted (i) to others in the ordinary course of business and not adversely interfering in any material respect with the business of the Borrower and its Subsidiaries as conducted at the time granted, taken as a whole or (ii) between or among any of the Loan Parties or any of their Subsidiaries;</w:t>
      </w:r>
    </w:p>
    <w:p>
      <w:pPr>
        <w:spacing w:after="0" w:line="175" w:lineRule="exact"/>
        <w:rPr>
          <w:rFonts w:ascii="Times New Roman" w:cs="Times New Roman" w:eastAsia="Times New Roman" w:hAnsi="Times New Roman"/>
          <w:sz w:val="18"/>
          <w:szCs w:val="18"/>
          <w:color w:val="auto"/>
        </w:rPr>
      </w:pPr>
    </w:p>
    <w:p>
      <w:pPr>
        <w:ind w:left="4" w:right="440" w:firstLine="436"/>
        <w:spacing w:after="0" w:line="266"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5" w:lineRule="exact"/>
        <w:rPr>
          <w:rFonts w:ascii="Times New Roman" w:cs="Times New Roman" w:eastAsia="Times New Roman" w:hAnsi="Times New Roman"/>
          <w:sz w:val="18"/>
          <w:szCs w:val="18"/>
          <w:color w:val="auto"/>
        </w:rPr>
      </w:pPr>
    </w:p>
    <w:p>
      <w:pPr>
        <w:ind w:left="4" w:right="380" w:firstLine="436"/>
        <w:spacing w:after="0" w:line="266" w:lineRule="auto"/>
        <w:tabs>
          <w:tab w:leader="none" w:pos="65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5"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65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61"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landlord, lessor or sublessor under any lease of real estate or any Lien affecting solely the interest of the landlord, lessor or sublessor;</w:t>
      </w:r>
    </w:p>
    <w:p>
      <w:pPr>
        <w:spacing w:after="0" w:line="161"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7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or similar filings relating to operating leases of personal property entered into by the Borrower or any of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licensor under any license or sublicense entered into by the Borrower or any Subsidiary as a licensee or sublicensee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on the Effective Date or (ii) in the ordinary course of its business;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4" w:name="page55"/>
    <w:bookmarkEnd w:id="54"/>
    <w:p>
      <w:pPr>
        <w:jc w:val="both"/>
        <w:ind w:right="140"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real property, title defects or irregularities, reservations or exceptions in any prior deeds or recorded conveyances, survey exceptions, and matters listed as exceptions in a title policy insuring a Mortgage in favor of the Administrative Agent that do not, individually or in the aggregate, materially impair the use of such real property for its intended purpose or secure a substantial monetary obligation; and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laws or rights reserved to or vested in any Governmental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(other than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IP License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 Amount</w:t>
      </w:r>
      <w:r>
        <w:rPr>
          <w:rFonts w:ascii="Times New Roman" w:cs="Times New Roman" w:eastAsia="Times New Roman" w:hAnsi="Times New Roman"/>
          <w:sz w:val="17"/>
          <w:szCs w:val="17"/>
          <w:color w:val="auto"/>
        </w:rPr>
        <w:t xml:space="preserve">” means, with respect to any Indebtedness being Refinanced, an amount equal to (a) any accrued and unpaid interest on such Refinanced Indebtedness,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amount of any reasonable tender or redemption premium paid thereof or any penalty or premium required to be paid under the terms of the instrument or documents governing such Refinanced Indebtedness,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(c) any reasonable costs, fees and expenses incurred in connection with the issuance of the Permitted Refinancing Indebtedness and the Refinancing of such Refinanced Indebtedness.</w:t>
      </w:r>
    </w:p>
    <w:p>
      <w:pPr>
        <w:spacing w:after="0" w:line="164"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Indebtedness shall constitute Permitted Refinancing Indebtedness only to the extent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Permitted Refinancing Amount), (b) with respect to Permitted Refinancing Indebtedness in respect of Incremental Equivalent Debt or Permitted Convertible Debt, (i) the Weighted Average Life to Maturity of such Permitted Refinancing Indebtedness is not shorter than the remaining Weighted Average Life To Maturity of the Indebtedness being Refinanced and (ii) the maturity of such Permitted Refinancing Indebtedness is not earlier than the Maturity Date (or, if earlier, the stated maturity of the Indebtedness being Refinanced), (c) if the Indebtedness being Refinanced is subordinated in right of payment to the Obligations or any Guarantees thereof, such Permitted Refinancing Indebtedness shall be subordinated in right of payment to such Obligations or such Guarantees on terms at least as favorable to the Lenders as those contained in the documentation governing the Indebtedness being Refinanced as determined by the Administrative Agent and the Borrower in their good faith judgment, (d) no Permitted Refinancing Indebtedness shall have different obligors, or greater guarantees or security, than the Indebtedness being Refinanced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(a) of any Loan Party may be Refinanced to add or substitute as an obligor another Loan Party and (b) of any Subsidiary that is not a Loan Party may be Refinanced to add or substitute as an obligor another Subsidiary that is not a Loan Party, in each case to the extent then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(ii) other guarantees and security may be added to the extent then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(e) if the Indebtedness being Refinanced is secured by any Collateral (whether equally and ratably with, or junior to, the Secured Parties or otherwise), such Permitted Refinancing Indebtedness may be secured by such Collateral (including any collateral pursuant to after-acquired property clauses to the extent any such collateral would have secured the Indebtedness being Refinanced) on terms not materially less favorable to the Secured Parties than those contained in the documentation (including any intercreditor agreement) governing the Indebtedness being Refinanced, as determined in good faith by the Borrower and the Borrower shall have delivered to the Administrative Agent a certificate of a Financial Officer of the Borrower, in a form reasonably satisfactory to the Administrative Agent, certifying that the applicable requirements set forth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have been satisfied with respect to such Indebtedness, or on terms otherwise then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5" w:name="page56"/>
    <w:bookmarkEnd w:id="55"/>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or any other Loan Party, substantially concurrently with any purchase by the Borrower or such other Loan Party of a Permitted Bond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 with a strike price higher than the strike price of the Permitted Bond Hedge Transaction.</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Subsidiary</w:t>
      </w:r>
      <w:r>
        <w:rPr>
          <w:rFonts w:ascii="Times New Roman" w:cs="Times New Roman" w:eastAsia="Times New Roman" w:hAnsi="Times New Roman"/>
          <w:sz w:val="18"/>
          <w:szCs w:val="18"/>
          <w:color w:val="auto"/>
        </w:rPr>
        <w:t>” means (i) each Domestic Subsidiary and (ii) each First Tier Foreign Subsidiary which is a Material Foreign Subsidiary.</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“Prescription Drug User Fee Act</w:t>
      </w:r>
      <w:r>
        <w:rPr>
          <w:rFonts w:ascii="Times New Roman" w:cs="Times New Roman" w:eastAsia="Times New Roman" w:hAnsi="Times New Roman"/>
          <w:sz w:val="18"/>
          <w:szCs w:val="18"/>
          <w:color w:val="auto"/>
        </w:rPr>
        <w:t>” means the FDA User Fee Reauthorization Act of 2022, which reauthorized the Prescription Drug User Fee Act and the prescription drug user fee rate notices published in the Federal Register by the FDA announcing application fees for applications for the review of human drug and biological products.</w:t>
      </w:r>
    </w:p>
    <w:p>
      <w:pPr>
        <w:spacing w:after="0" w:line="17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 “Prime Rate” in the U.S. or, if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ceases to quote such rate, the highest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means any current or future product, drug, biologic, or medical device that is researched, formulated, designed, developed, tested, manufactured, owned, packaged, processed, used, held, labeled, stored, tested, commercialized, imported, exported, transported, distributed, supplied, licensed, promoted, marketed, advertised, disposed, sold or offered for sale by or on behalf of the Borrower and its Subsidiaries, including, without limitation, marketed products and products under development.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xml:space="preserve"> Transaction” means (i) any Material Acquisition and (ii) any Material Disposition.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6" w:name="page57"/>
    <w:bookmarkEnd w:id="56"/>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Ratings-Based Adjustment Date</w:t>
      </w:r>
      <w:r>
        <w:rPr>
          <w:rFonts w:ascii="Times New Roman" w:cs="Times New Roman" w:eastAsia="Times New Roman" w:hAnsi="Times New Roman"/>
          <w:sz w:val="18"/>
          <w:szCs w:val="18"/>
          <w:color w:val="auto"/>
        </w:rPr>
        <w:t>” has the meaning assigned to such term in the definition of “Applicable Rate.”</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Assets</w:t>
      </w:r>
      <w:r>
        <w:rPr>
          <w:rFonts w:ascii="Times New Roman" w:cs="Times New Roman" w:eastAsia="Times New Roman" w:hAnsi="Times New Roman"/>
          <w:sz w:val="18"/>
          <w:szCs w:val="18"/>
          <w:color w:val="auto"/>
        </w:rPr>
        <w:t>” means, in connection with a Receivables Purchase Transaction, (i) accounts receivable, notes receivables and/or other payment intangibles, (ii) interests therein and/or related assets or rights, including any collection accounts with respect thereto and (iii) the proceeds of any of the foregoing.</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Purchase Transaction</w:t>
      </w:r>
      <w:r>
        <w:rPr>
          <w:rFonts w:ascii="Times New Roman" w:cs="Times New Roman" w:eastAsia="Times New Roman" w:hAnsi="Times New Roman"/>
          <w:sz w:val="18"/>
          <w:szCs w:val="18"/>
          <w:color w:val="auto"/>
        </w:rPr>
        <w:t>” means an arrangement whereby the Borrower or any of its Subsidiaries (including a special purpose subsidiary) sells, on a non-recourse basis, except to the extent customary in a “true sale” arrangement, its accounts receivable in connection with the collection of such accounts receivable in the ordinary course of business.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AUD Rate, 11:00 a.m. Sydney, Australia time two Business Days preceding the date of such setting, (5) if the RFR for such Benchmark is SONIA, then four RFR Business Days prior to such setting, (6) if the RFR for such Benchmark is SARON, then five RFR Business Days prior to such setting, (7) if the RFR for such Benchmark is SORA, then five RFR Business Days prior to such setting, (8) if, following a Benchmark Transition Event and Benchmark Replacement Date with respect to the Term SOFR Rate, the RFR for such Benchmark is Daily Simple SOFR, then four RFR Business Days prior to such setting or (9) if such Benchmark is none of the Term SOFR Rate, EURIBOR Rate, TIBOR Rate, AUD Rate, SONIA, SARON, SORA or Daily Simple SOFR, the time determined by the Administrative Agent in its reasonable discretion.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Commitment</w:t>
      </w:r>
      <w:r>
        <w:rPr>
          <w:rFonts w:ascii="Times New Roman" w:cs="Times New Roman" w:eastAsia="Times New Roman" w:hAnsi="Times New Roman"/>
          <w:sz w:val="18"/>
          <w:szCs w:val="18"/>
          <w:color w:val="auto"/>
        </w:rPr>
        <w:t>” means a Refinancing Revolving Commitment or a Refinancing Term Loan Commitment.</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 Agreement</w:t>
      </w:r>
      <w:r>
        <w:rPr>
          <w:rFonts w:ascii="Times New Roman" w:cs="Times New Roman" w:eastAsia="Times New Roman" w:hAnsi="Times New Roman"/>
          <w:sz w:val="18"/>
          <w:szCs w:val="18"/>
          <w:color w:val="auto"/>
        </w:rPr>
        <w:t xml:space="preserve">” means an agreement in form and substance reasonably satisfactory to the Administrative Agent, among the Borrower, the Administrative Agent and one or more Refinancing Term Lenders, establishing Refinancing Commitments and effecting such other amendments hereto and to the other Loan Documents as are contemplated by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means a Refinancing Revolving Lender or a Refinancing Term Lender.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 Loan</w:t>
      </w:r>
      <w:r>
        <w:rPr>
          <w:rFonts w:ascii="Times New Roman" w:cs="Times New Roman" w:eastAsia="Times New Roman" w:hAnsi="Times New Roman"/>
          <w:sz w:val="18"/>
          <w:szCs w:val="18"/>
          <w:color w:val="auto"/>
        </w:rPr>
        <w:t>” means a Refinancing Term Loan or a Refinancing Revolving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3.07(b)(i)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directors, officers, managers, employees, agents and advisors of such Person and such Person’s Affiliates.</w:t>
      </w:r>
    </w:p>
    <w:p>
      <w:pPr>
        <w:spacing w:after="0" w:line="16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(v) with respect to a Benchmark Replacement in respect of Loans denominated in Yen, the Bank of Japan, or a committee officially endorsed or convened by the Bank of Japan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440" w:top="270" w:right="519" w:bottom="1440" w:gutter="0" w:footer="0" w:header="0"/>
        </w:sectPr>
      </w:pPr>
    </w:p>
    <w:bookmarkStart w:id="58" w:name="page59"/>
    <w:bookmarkEnd w:id="58"/>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denominated in Dollars, the Term SOFR Rate, (ii) with respect to any Term Benchmark Borrowing denominated in Yen, the TIBOR Rate, (iii) with respect any Term Benchmark denominated in Australian Dollars, the AUD Rate or (ii) with respect to any RFR Borrowing denominated in Sterling, Swiss Francs, Dollars or Singapore Dollars, the applicable Daily Simple RFR, in each case, as applicable.</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w:t>
      </w:r>
    </w:p>
    <w:p>
      <w:pPr>
        <w:spacing w:after="0" w:line="27" w:lineRule="exact"/>
        <w:rPr>
          <w:sz w:val="20"/>
          <w:szCs w:val="20"/>
          <w:color w:val="auto"/>
        </w:rPr>
      </w:pPr>
    </w:p>
    <w:p>
      <w:pPr>
        <w:ind w:left="4" w:right="40" w:hanging="4"/>
        <w:spacing w:after="0" w:line="255" w:lineRule="auto"/>
        <w:tabs>
          <w:tab w:leader="none" w:pos="2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Borrowing denominated in Euros, the EURIBOR Screen Rate, (iii) with respect to any Term Benchmark Borrowing denominated in Yen, the TIBOR Screen Rate, or (iv) with respect to any Term Benchmark Borrowing denominated in Australian dollars, the AUD Screen Rate, as applicable.</w:t>
      </w:r>
    </w:p>
    <w:p>
      <w:pPr>
        <w:spacing w:after="0" w:line="186"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 at any time prior to the earlier of the Loans becoming due and payable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the Revolving Commitments terminating or expiring, Lenders having Credit Exposures and Unfunded Commitments representing more than 50% of the sum of the total Credit Exposures plus Unfunded Commitments at such time; and (b) for all purposes after the Loans become due and payable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the Revolving Commitments expire or terminate, Lenders having Credit Exposures representing more than 50% of the sum of the total Credit Exposures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for the purpose of determining the Required Lenders needed for any waiver, amendment, modification or consent of or under this Agreement or any other Loan Document, any Lender that is a Defaulting Lender shall be disregarded, together with its Credit Exposures and Unfunded Commitments.</w:t>
      </w:r>
    </w:p>
    <w:p>
      <w:pPr>
        <w:spacing w:after="0" w:line="18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 Negative Consent</w:t>
      </w:r>
      <w:r>
        <w:rPr>
          <w:rFonts w:ascii="Times New Roman" w:cs="Times New Roman" w:eastAsia="Times New Roman" w:hAnsi="Times New Roman"/>
          <w:sz w:val="18"/>
          <w:szCs w:val="18"/>
          <w:color w:val="auto"/>
        </w:rPr>
        <w:t>” means, with respect to any instrument, agreement, term or condition provided for in this Agreement or any other Loan Document, that such instruction, agreement, term or condition has been presented to the Lenders by the Administrative Agent and the same has not been objected to in writing by the Required Lenders within five (5) Business Days following the Administrative Agent’s delivery of notice thereof. Following such five (5) Business Days period without objection by the Required Lenders, the Administrative Agent and the applicable Loan Parties shall be permitted to enter into, execute and deliver such instrument or agreement, and/or such term or condition shall be deemed satisfied, in each case under this Agreement and the other Loan Documents.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the president, a Financial Officer or other executive officer of the Borrower.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issuance of, purchase of, entry into (including any payments of premiums in connection therewith), performance of obligations under, making of payments under, and conversion, exercise, repurchase, redemption, settlement or early termination or cancellation 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4"/>
          </w:cols>
          <w:pgMar w:left="436" w:top="270" w:right="479" w:bottom="1440" w:gutter="0" w:footer="0" w:header="0"/>
        </w:sectPr>
      </w:pPr>
    </w:p>
    <w:bookmarkStart w:id="59" w:name="page60"/>
    <w:bookmarkEnd w:id="5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(whether in whole or in part and including by netting or set-off) (in each case, whether in cash, common stock of the Borrower or, following a merger event or other change of the common stock of the Borrower, other securities or property) any Permitted Convertible Debt (subject to compliance with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any Permitted Warrant Transactions or any Permitted Bond Hedge Transactions, or the satisfaction of any condition that would permit or require any of the foregoing, including (without limitation) any payment or delivery in connection with a Permitted Warrant Transaction or Permitted Bond Hedge Transaction, in each case, shall not constitute a Restricted Payment by the Borrower.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Revaluation Date</w:t>
      </w:r>
      <w:r>
        <w:rPr>
          <w:rFonts w:ascii="Times New Roman" w:cs="Times New Roman" w:eastAsia="Times New Roman" w:hAnsi="Times New Roman"/>
          <w:sz w:val="17"/>
          <w:szCs w:val="17"/>
          <w:color w:val="auto"/>
        </w:rPr>
        <w:t>” shall mean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3" w:lineRule="exact"/>
        <w:rPr>
          <w:sz w:val="20"/>
          <w:szCs w:val="20"/>
          <w:color w:val="auto"/>
        </w:rPr>
      </w:pPr>
    </w:p>
    <w:p>
      <w:pPr>
        <w:ind w:left="4" w:right="200" w:hanging="4"/>
        <w:spacing w:after="0" w:line="277" w:lineRule="auto"/>
        <w:tabs>
          <w:tab w:leader="none" w:pos="25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6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Revolving Loans of the same Type and Agreed Currency, made, converted or continued on the same date and, in the case of Term Benchmark Loans, as to which a single Interest Period is in effect.</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amount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opposite such Lender’s name under the heading “Revolving Commitment”, or in the Assignment and Assumption or other documentation or record (as such term is defined in</w:t>
      </w: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9-102(a)(70) of the New York Uniform Commercial Code) contemplated hereby pursuant to which such Lender shall have assumed its Revolving Commitment, as applicable, and giving effect to (a) any reduction in such amount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(b) any increase from time to time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(c) any reduction or increase in such amount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 Revolving Credit Exposure of any Lender exceed its Revolving Commitment. The initial aggregate amount of the Revolving Commitments on the Effective Date is $1,000,000,000.</w:t>
      </w:r>
    </w:p>
    <w:p>
      <w:pPr>
        <w:spacing w:after="0" w:line="18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Revolving Commitments.</w:t>
      </w:r>
    </w:p>
    <w:p>
      <w:pPr>
        <w:spacing w:after="0" w:line="162"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principal amount of such Lender’s Revolving Loans and its LC Exposure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Revolving Commitments and the extensions of credit made thereunder.</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each Lender that has a Revolving Commitment or, if the Revolving Commitments have terminated or expired, a Lender with Revolving Credit Exposure.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by a Revolving Lender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4"/>
          </w:cols>
          <w:pgMar w:left="436" w:top="270" w:right="499" w:bottom="1440" w:gutter="0" w:footer="0" w:header="0"/>
        </w:sectPr>
      </w:pPr>
    </w:p>
    <w:bookmarkStart w:id="60" w:name="page61"/>
    <w:bookmarkEnd w:id="60"/>
    <w:p>
      <w:pPr>
        <w:ind w:left="4" w:right="1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RFR</w:t>
      </w:r>
      <w:r>
        <w:rPr>
          <w:rFonts w:ascii="Times New Roman" w:cs="Times New Roman" w:eastAsia="Times New Roman" w:hAnsi="Times New Roman"/>
          <w:sz w:val="17"/>
          <w:szCs w:val="17"/>
          <w:color w:val="auto"/>
        </w:rPr>
        <w:t>” means, for any RFR Loan denominated in (a) Sterling, SONIA, (b) Swiss Francs, SARON, (c) Singapore Dollars, SORA and (d) Dollars (solely following a Benchmark Transition Event and a Benchmark Replacement Date with respect to the Term SOFR Rate), Daily Simple SOFR.</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jc w:val="both"/>
        <w:ind w:left="4" w:right="3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RFR Business Day</w:t>
      </w:r>
      <w:r>
        <w:rPr>
          <w:rFonts w:ascii="Times New Roman" w:cs="Times New Roman" w:eastAsia="Times New Roman" w:hAnsi="Times New Roman"/>
          <w:sz w:val="17"/>
          <w:szCs w:val="17"/>
          <w:color w:val="auto"/>
        </w:rPr>
        <w:t>” means, for any Loan denominated in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(c) Dollars, a U.S. Government Securities Business Day and</w:t>
      </w:r>
    </w:p>
    <w:p>
      <w:pPr>
        <w:spacing w:after="0" w:line="2" w:lineRule="exact"/>
        <w:rPr>
          <w:sz w:val="20"/>
          <w:szCs w:val="20"/>
          <w:color w:val="auto"/>
        </w:rPr>
      </w:pPr>
    </w:p>
    <w:p>
      <w:pPr>
        <w:ind w:left="4" w:right="100" w:hanging="4"/>
        <w:spacing w:after="0" w:line="260"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any day except for (i) a Saturday, (ii) a Sunday or (iii) a day on which commercial banks in Singapore are authorized or required by law to remain closed.</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bears interest at a rate based on the applicable Daily Simple RFR.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any successor thereto.</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162"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country-wide or territory-wide Sanctions (at the time of this Agreement, the Crimea, so-called Donetsk People’s Republic, Kherson, so-called Luhansk People’s Republic, and Zaporizhzhia regions of Ukraine, Cuba, Iran and North Korea).</w:t>
      </w:r>
    </w:p>
    <w:p>
      <w:pPr>
        <w:spacing w:after="0" w:line="176"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OFAC, the U.S. Department of State, the United Nations Security Council, the European Union, any European Union member state, His Majesty’s Treasury of the United Kingdom or other relevant sanctions authority, (b) any Person operating, organized or resident in a Sanctioned Country, (c) any Person 50% or more owned or controlled, individually or in the aggregate,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Person otherwise the subject of any Sanctions.</w:t>
      </w:r>
    </w:p>
    <w:p>
      <w:pPr>
        <w:spacing w:after="0" w:line="183"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(c) the European Union, (d) any European Union member state, or (e) His Majesty’s Treasury of the United Kingdom.</w:t>
      </w:r>
    </w:p>
    <w:p>
      <w:pPr>
        <w:spacing w:after="0" w:line="176"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with respect to any Business Day, a rate per annum equal to the Swiss Average Rate Overnight for such Business Day published by the SARON Administrator on the SARON Administrator’s Website.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the SIX Swiss Exchange AG (or any successor administrator of the Swiss Average Rate Overnight).</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4"/>
          </w:cols>
          <w:pgMar w:left="436" w:top="270" w:right="519" w:bottom="1440" w:gutter="0" w:footer="0" w:header="0"/>
        </w:sectPr>
      </w:pPr>
    </w:p>
    <w:bookmarkStart w:id="61" w:name="page62"/>
    <w:bookmarkEnd w:id="61"/>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United States of America or any Governmental Authority succeeding to any of its principal functions.</w:t>
      </w:r>
    </w:p>
    <w:p>
      <w:pPr>
        <w:spacing w:after="0" w:line="162"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(or, prior to the delivery of any such financial statements, the last day of the last fiscal quarter included in the financial statements referred to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of (a) Consolidated Secured Net Indebtedness outstanding, to</w:t>
      </w:r>
    </w:p>
    <w:p>
      <w:pPr>
        <w:spacing w:after="0" w:line="1" w:lineRule="exact"/>
        <w:rPr>
          <w:sz w:val="20"/>
          <w:szCs w:val="20"/>
          <w:color w:val="auto"/>
        </w:rPr>
      </w:pPr>
    </w:p>
    <w:p>
      <w:pPr>
        <w:ind w:left="4" w:right="200" w:hanging="4"/>
        <w:spacing w:after="0" w:line="260"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period of four consecutive fiscal quarters ending with the end of such fiscal quarter, all calculated for the Borrower and its Subsidiaries on a consolidated basis.</w:t>
      </w:r>
    </w:p>
    <w:p>
      <w:pPr>
        <w:spacing w:after="0" w:line="181"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Swap Obligations and Banking Services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76"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the holders of the Secured Obligations from time to time and shall include (i) each Lender and each Issuing Bank in respect of its Loans and LC Exposure, respectively, (ii) the Administrative Agent, the Issuing Banks and the Lenders in respect of all other present and future obligations and liabilities of the Borrower and each Subsidiary of every type and description arising under or in connection with this Agreement or any other Loan Document, (iii) the Swap Banks in respect of Swap Obligations and the Cash Management Banks in respect of Banking Services Obligations, (iv) each indemnified party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 respect of the obligations and liabilities of the Borrower to such Person hereunder and under the other Loan Documents, and (v) their respective successors and (in the case of a Lender, permitted) transferees and assigns.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United States Securities Act of 1933.</w:t>
      </w:r>
    </w:p>
    <w:p>
      <w:pPr>
        <w:spacing w:after="0" w:line="225"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Effective Date, among the Loan Parties and the Administrative Agent, for the benefit of the Administrative Agent and the other Secured Parties, and any other pledge or security agreement entered into after the date of this Agreement by any Loan Party (as required by this Agreement or any other Loan Document), as the same may be amended, restated, supplemented or otherwise modified from time to time.</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(a) any business the majority of whose revenues are derived from the same or similar business or activities as are conducted by the Borrower and its Subsidiaries on the Effective Date, (b) any business that is a natural outgrowth or reasonable extension, development or expansion of any such business or any business similar, reasonably related, incidental, complementary or ancillary to any of the foregoing or (c) any business that in the Borrower’s good faith judgment constitutes a reasonable diversification of businesses conducted by the Borrower and the Subsidiaries.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Singapore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SGD</w:t>
      </w:r>
      <w:r>
        <w:rPr>
          <w:rFonts w:ascii="Times New Roman" w:cs="Times New Roman" w:eastAsia="Times New Roman" w:hAnsi="Times New Roman"/>
          <w:sz w:val="18"/>
          <w:szCs w:val="18"/>
          <w:color w:val="auto"/>
        </w:rPr>
        <w:t>” means the lawful currency of Singapore.</w:t>
      </w:r>
    </w:p>
    <w:p>
      <w:pPr>
        <w:spacing w:after="0" w:line="223" w:lineRule="exact"/>
        <w:rPr>
          <w:sz w:val="20"/>
          <w:szCs w:val="20"/>
          <w:color w:val="auto"/>
        </w:rPr>
      </w:pPr>
    </w:p>
    <w:p>
      <w:pPr>
        <w:ind w:left="4"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means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secured overnight financing rate as administered by the SOFR Administrator on the SOFR Administrator’s Website.</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4"/>
          </w:cols>
          <w:pgMar w:left="436" w:top="270" w:right="519" w:bottom="1440" w:gutter="0" w:footer="0" w:header="0"/>
        </w:sectPr>
      </w:pPr>
    </w:p>
    <w:bookmarkStart w:id="62" w:name="page63"/>
    <w:bookmarkEnd w:id="62"/>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assigned to such term in the definition of “Daily Simple SOFR”.</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as to any Person as of any date of determination, that on such date (a) the amount of the “present fair salable value” (as determined by in accordance with applicable federal and state laws governing determination of insolvency of debtors) of the assets of such Person (on a going concern basis) is greater than the total amount of liabilities, including contingent liabilities, of such Person, (b) the present fair saleable value of such Person (on a going concern basis) is not less than the amount that will be required to pay the probable liability of such Person on its debts, including contingent debts, as they become absolute and matured in the ordinary course of business, (c) such Person will be able to pay its debts as they mature in the ordinary course of business and (d) such Person will not have, as of such date of determination, an unreasonably small amount of capital with which to conduct its business.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SORA</w:t>
      </w:r>
      <w:r>
        <w:rPr>
          <w:rFonts w:ascii="Times New Roman" w:cs="Times New Roman" w:eastAsia="Times New Roman" w:hAnsi="Times New Roman"/>
          <w:sz w:val="18"/>
          <w:szCs w:val="18"/>
          <w:color w:val="auto"/>
        </w:rPr>
        <w:t>” means a rate equal to the Singapore Overnight Rate Average as administered by the SORA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SORA Administrator</w:t>
      </w:r>
      <w:r>
        <w:rPr>
          <w:rFonts w:ascii="Times New Roman" w:cs="Times New Roman" w:eastAsia="Times New Roman" w:hAnsi="Times New Roman"/>
          <w:sz w:val="18"/>
          <w:szCs w:val="18"/>
          <w:color w:val="auto"/>
        </w:rPr>
        <w:t>” means the Monetary Authority of Singapore (or any successor administrator of the Singapore Overnight Rate Average).</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SORA Administrator’s Website</w:t>
      </w:r>
      <w:r>
        <w:rPr>
          <w:rFonts w:ascii="Times New Roman" w:cs="Times New Roman" w:eastAsia="Times New Roman" w:hAnsi="Times New Roman"/>
          <w:sz w:val="18"/>
          <w:szCs w:val="18"/>
          <w:color w:val="auto"/>
        </w:rPr>
        <w:t>” means the Monetary Authority of Singapore’s website, currently at https://eservices.mas.gov.sg, or any successor source for the Singapore Overnight Rate Average identified as such by the SORA Administrator from time to time.</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the acquisition by the Borrower of Soleno Therapeutics, Inc., as contemplated by the Specified Acquisition Agreement.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w:t>
      </w:r>
      <w:r>
        <w:rPr>
          <w:rFonts w:ascii="Times New Roman" w:cs="Times New Roman" w:eastAsia="Times New Roman" w:hAnsi="Times New Roman"/>
          <w:sz w:val="18"/>
          <w:szCs w:val="18"/>
          <w:color w:val="auto"/>
        </w:rPr>
        <w:t>” means the Agreement and Plan of Merger, dated as of April 5, 2026, by and among Neurocrine Biosciences, Inc., Sigma Merger Sub, Inc. and Soleno Therapeutics, Inc., as amended, restated, amended and restated, supplemented or otherwise modified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63" w:name="page64"/>
    <w:bookmarkEnd w:id="63"/>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Ancillary Obligations</w:t>
      </w:r>
      <w:r>
        <w:rPr>
          <w:rFonts w:ascii="Times New Roman" w:cs="Times New Roman" w:eastAsia="Times New Roman" w:hAnsi="Times New Roman"/>
          <w:sz w:val="18"/>
          <w:szCs w:val="18"/>
          <w:color w:val="auto"/>
        </w:rPr>
        <w:t xml:space="preserve">”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any Swap Bank under any Swap Agreement or to any Cash Management Bank under any Banking Services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 Event of Default arising under any of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Ratings</w:t>
      </w:r>
      <w:r>
        <w:rPr>
          <w:rFonts w:ascii="Times New Roman" w:cs="Times New Roman" w:eastAsia="Times New Roman" w:hAnsi="Times New Roman"/>
          <w:sz w:val="18"/>
          <w:szCs w:val="18"/>
          <w:color w:val="auto"/>
        </w:rPr>
        <w:t>” means the corporate credit rating assigned by Moody’s and the corporate issuer rating assigned by S&amp;P, in each case, with respect to the Borrower.</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Swap Obligation</w:t>
      </w:r>
      <w:r>
        <w:rPr>
          <w:rFonts w:ascii="Times New Roman" w:cs="Times New Roman" w:eastAsia="Times New Roman" w:hAnsi="Times New Roman"/>
          <w:sz w:val="17"/>
          <w:szCs w:val="17"/>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4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Adjusted TIBOR Rate or Adjusted AUD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“Sterling” or “£” mean the lawful currency of the United Kingdom.</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of the Borrower or any Subsidiary the payment of which is contractually subordinated to payment of the obligations under the Loan Documents.</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4" w:name="page65"/>
    <w:bookmarkEnd w:id="64"/>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means each Material Domestic Subsidiary that is a party to the Guaranty. The Subsidiary Guarantors on the Effective Date (if any) are identified as such in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 Notwithstanding anything to the contrary in the foregoing, neither any Permitted Bond Hedge Transaction nor any Permitted Warrant Transaction shall be a Swap Agreement.</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Bank</w:t>
      </w:r>
      <w:r>
        <w:rPr>
          <w:rFonts w:ascii="Times New Roman" w:cs="Times New Roman" w:eastAsia="Times New Roman" w:hAnsi="Times New Roman"/>
          <w:sz w:val="18"/>
          <w:szCs w:val="18"/>
          <w:color w:val="auto"/>
        </w:rPr>
        <w:t>” means any Person that (a) is the Administrative Agent, a Lender or any of their respective Affiliates or (b) was the Administrative Agent, a Lender or an Affiliate of the Administrative Agent or a Lender at the time the applicable Swap Agreement was entered into.</w:t>
      </w:r>
    </w:p>
    <w:p>
      <w:pPr>
        <w:spacing w:after="0" w:line="162" w:lineRule="exact"/>
        <w:rPr>
          <w:sz w:val="20"/>
          <w:szCs w:val="20"/>
          <w:color w:val="auto"/>
        </w:rPr>
      </w:pPr>
    </w:p>
    <w:p>
      <w:pPr>
        <w:ind w:left="4" w:right="4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Obligations</w:t>
      </w:r>
      <w:r>
        <w:rPr>
          <w:rFonts w:ascii="Times New Roman" w:cs="Times New Roman" w:eastAsia="Times New Roman" w:hAnsi="Times New Roman"/>
          <w:sz w:val="17"/>
          <w:szCs w:val="17"/>
          <w:color w:val="auto"/>
        </w:rPr>
        <w:t>” means any and all obligations of the Borrower or any Subsidiary, whether absolute or contingent and howsoever and whensoever created, arising, evidenced or acquired (including all renewals, extensions and modifications thereof and substitutions therefor), under</w:t>
      </w:r>
    </w:p>
    <w:p>
      <w:pPr>
        <w:spacing w:after="0" w:line="1" w:lineRule="exact"/>
        <w:rPr>
          <w:sz w:val="20"/>
          <w:szCs w:val="20"/>
          <w:color w:val="auto"/>
        </w:rPr>
      </w:pPr>
    </w:p>
    <w:p>
      <w:pPr>
        <w:ind w:left="4" w:right="600" w:hanging="4"/>
        <w:spacing w:after="0" w:line="260"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Swap Agreements permitted hereunder with a Swap Bank, and (b) any and all cancellations, buy backs, reversals, terminations or assignments of any such Swap Agreement transaction.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CHF</w:t>
      </w:r>
      <w:r>
        <w:rPr>
          <w:rFonts w:ascii="Times New Roman" w:cs="Times New Roman" w:eastAsia="Times New Roman" w:hAnsi="Times New Roman"/>
          <w:sz w:val="18"/>
          <w:szCs w:val="18"/>
          <w:color w:val="auto"/>
        </w:rPr>
        <w:t>” mean the lawful currency of Switzerland.</w:t>
      </w:r>
    </w:p>
    <w:p>
      <w:pPr>
        <w:spacing w:after="0" w:line="225"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bearing interest at a rate determined by reference to the Term SOFR Rate (unless such Loan or Borrowing is an ABR Loan or ABR Borrowing bearing interest at a rate determined by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 the Adjusted EURIBOR Rate, the Adjusted TIBOR Rate or the Adjusted AUD Rate.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any Incremental Term Loans.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Rate as so determined would be less than the Floor, such rate shall be deemed to be equal to the Floor for the purposes of this Agreement.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with respect to any Term Benchmark Borrowing denominated in Dollars and for any tenor comparable to the applicable Interest Period,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Test Period</w:t>
      </w:r>
      <w:r>
        <w:rPr>
          <w:rFonts w:ascii="Times New Roman" w:cs="Times New Roman" w:eastAsia="Times New Roman" w:hAnsi="Times New Roman"/>
          <w:sz w:val="17"/>
          <w:szCs w:val="17"/>
          <w:color w:val="auto"/>
        </w:rPr>
        <w:t xml:space="preserve">” means, as of any date, the period of four consecutive fiscal quarters then most recently ended for which financial statements under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as applicable, have been delivered (or are required to have been delivered) (or, if prior to the date of the delivery of the first financial statements to be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the most recent financial statements referred to in </w:t>
      </w:r>
      <w:r>
        <w:rPr>
          <w:rFonts w:ascii="Times New Roman" w:cs="Times New Roman" w:eastAsia="Times New Roman" w:hAnsi="Times New Roman"/>
          <w:sz w:val="17"/>
          <w:szCs w:val="17"/>
          <w:u w:val="single" w:color="auto"/>
          <w:color w:val="auto"/>
        </w:rPr>
        <w:t>Section 3.04(a)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Borrower or any of its Subsidiaries.</w:t>
      </w:r>
    </w:p>
    <w:p>
      <w:pPr>
        <w:spacing w:after="0" w:line="225"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Borrowing denominated in Yen and for any Interest Period, the TIBOR Screen Rate two Business Days prior to the commencement of such Interest Period.</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Screen Rate</w:t>
      </w:r>
      <w:r>
        <w:rPr>
          <w:rFonts w:ascii="Times New Roman" w:cs="Times New Roman" w:eastAsia="Times New Roman" w:hAnsi="Times New Roman"/>
          <w:sz w:val="18"/>
          <w:szCs w:val="18"/>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on the applicable date of determination.</w:t>
      </w:r>
    </w:p>
    <w:p>
      <w:pPr>
        <w:spacing w:after="0" w:line="183" w:lineRule="exact"/>
        <w:rPr>
          <w:sz w:val="20"/>
          <w:szCs w:val="20"/>
          <w:color w:val="auto"/>
        </w:rPr>
      </w:pPr>
    </w:p>
    <w:p>
      <w:pPr>
        <w:ind w:right="5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Net Leverage Ratio</w:t>
      </w:r>
      <w:r>
        <w:rPr>
          <w:rFonts w:ascii="Times New Roman" w:cs="Times New Roman" w:eastAsia="Times New Roman" w:hAnsi="Times New Roman"/>
          <w:sz w:val="17"/>
          <w:szCs w:val="17"/>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5.01(b)</w:t>
      </w:r>
      <w:r>
        <w:rPr>
          <w:rFonts w:ascii="Times New Roman" w:cs="Times New Roman" w:eastAsia="Times New Roman" w:hAnsi="Times New Roman"/>
          <w:sz w:val="17"/>
          <w:szCs w:val="17"/>
          <w:color w:val="auto"/>
        </w:rPr>
        <w:t xml:space="preserve"> (or, prior to the delivery of the first financial statements pursuant to</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the last day of the last fiscal quarter included in the financial statements referred to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of (a) Consolidated Total Net Indebtedness outstanding, to (b) Consolidated EBITDA for the period of four consecutive fiscal quarters ending with the end of such fiscal quarter, all calculated for the Borrower and its Subsidiaries on a consolidated basis.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6" w:name="page67"/>
    <w:bookmarkEnd w:id="66"/>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at any time, the sum of (a) the outstanding principal amount of the Revolving Loans at such time and (b) the total LC Exposure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and other credit extensions and the use of the proceeds thereof.</w:t>
      </w:r>
    </w:p>
    <w:p>
      <w:pPr>
        <w:spacing w:after="0" w:line="162"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the Adjusted EURIBOR Rate, Adjusted TIBOR Rate, the Adjusted AUD Rate, the Alternate Base Rate or the Daily Simple RFR.</w:t>
      </w:r>
    </w:p>
    <w:p>
      <w:pPr>
        <w:spacing w:after="0" w:line="176"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means, with respect to each Lender, the Revolving Commitments of such Lender less its Revolving Credit Exposure.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Unliquidated Obligations</w:t>
      </w:r>
      <w:r>
        <w:rPr>
          <w:rFonts w:ascii="Times New Roman" w:cs="Times New Roman" w:eastAsia="Times New Roman" w:hAnsi="Times New Roman"/>
          <w:sz w:val="17"/>
          <w:szCs w:val="17"/>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spacing w:after="0" w:line="1" w:lineRule="exact"/>
        <w:rPr>
          <w:sz w:val="20"/>
          <w:szCs w:val="20"/>
          <w:color w:val="auto"/>
        </w:rPr>
      </w:pPr>
    </w:p>
    <w:p>
      <w:pPr>
        <w:ind w:left="4" w:right="140" w:hanging="4"/>
        <w:spacing w:after="0" w:line="260"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(iii) inchoate indemnity obligations; or (iv) an obligation to provide collateral to secure any of the foregoing types of obligations.</w:t>
      </w:r>
    </w:p>
    <w:p>
      <w:pPr>
        <w:spacing w:after="0" w:line="181"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Upfront Payments</w:t>
      </w:r>
      <w:r>
        <w:rPr>
          <w:rFonts w:ascii="Times New Roman" w:cs="Times New Roman" w:eastAsia="Times New Roman" w:hAnsi="Times New Roman"/>
          <w:sz w:val="18"/>
          <w:szCs w:val="18"/>
          <w:color w:val="auto"/>
        </w:rPr>
        <w:t>” means any upfront or similar payments made in connection with any drug, biologic or pharmaceutical product research and development or Collaboration Agreements or the closing of any Investment or other acquisition (including any license or the acquisition of any license) of any rights in respect of any drug, biologic or other pharmaceutical product (and any related property or assets).</w:t>
      </w:r>
    </w:p>
    <w:p>
      <w:pPr>
        <w:spacing w:after="0" w:line="176"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Prepayment Amount</w:t>
      </w:r>
      <w:r>
        <w:rPr>
          <w:rFonts w:ascii="Times New Roman" w:cs="Times New Roman" w:eastAsia="Times New Roman" w:hAnsi="Times New Roman"/>
          <w:sz w:val="18"/>
          <w:szCs w:val="18"/>
          <w:color w:val="auto"/>
        </w:rPr>
        <w:t xml:space="preserve">” means as of any date, an amount equal to (a) the sum of the aggregate principal amount of all optional prepayments of Loans and Pari Passu Indebtedness made after the Effective Date (excluding (i) prepayments made with the proceeds of long-term Indebtedness (other than extensions of credit under any revolving credit or similar facility and intercompany Indebtedness) and (ii) prepayments of any revolving loans unless accompanied by a corresponding permanent reduction in the commitments thereunder)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(b) the aggregate principal amount of Incremental Loans, Incremental Commitments and Incremental Equivalent Debt established prior to such date in reliance on the Voluntary Prepayment Amount and not subsequently reclassified as having been incurred in reliance on the Incremental Ratio Basket.</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 of any prepayment made in respect of such Indebtedness shall be disregarded in making such calculation.</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a Subsidiary with respect to which 100% of the issued and outstanding Equity Interests are owned directly or indirectly by the Borrower (other than (i) directors’ qualifying shares; (ii) shares issued to foreign nationals to the extent required by applicable law; and (iii) shares held by a Person on trust for, or otherwise where the beneficial interest is held by, the Borrower (directly or indirectly)).</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Japan.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68" w:name="page69"/>
    <w:bookmarkEnd w:id="68"/>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Loan”)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Revolving Loan”). Borrowings also may be classified and referred to by Class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Borrowing”) or by Class and Type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“Term Benchmark Revolving Borrowing”.</w:t>
      </w:r>
    </w:p>
    <w:p>
      <w:pPr>
        <w:spacing w:after="0" w:line="18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 Pro Forma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w:t>
      </w:r>
      <w:r>
        <w:rPr>
          <w:rFonts w:ascii="Times New Roman" w:cs="Times New Roman" w:eastAsia="Times New Roman" w:hAnsi="Times New Roman"/>
          <w:sz w:val="18"/>
          <w:szCs w:val="18"/>
          <w:u w:val="single" w:color="auto"/>
          <w:color w:val="auto"/>
        </w:rPr>
        <w:t>Section 1.04(a)</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8" w:right="459" w:bottom="1440" w:gutter="0" w:footer="0" w:header="0"/>
        </w:sectPr>
      </w:pPr>
    </w:p>
    <w:bookmarkStart w:id="69" w:name="page70"/>
    <w:bookmarkEnd w:id="6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18"/>
          <w:szCs w:val="18"/>
          <w:u w:val="single" w:color="auto"/>
          <w:color w:val="auto"/>
        </w:rPr>
        <w:t>FAS 842</w:t>
      </w:r>
      <w:r>
        <w:rPr>
          <w:rFonts w:ascii="Times New Roman" w:cs="Times New Roman" w:eastAsia="Times New Roman" w:hAnsi="Times New Roman"/>
          <w:sz w:val="18"/>
          <w:szCs w:val="18"/>
          <w:color w:val="auto"/>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except that, at the Borrower’s option, financial statements delivered under this Agreement, including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may be prepared in accordance with GAAP (including giving effect to FAS 842) as in effect at the time of such delivery.</w:t>
      </w:r>
    </w:p>
    <w:p>
      <w:pPr>
        <w:spacing w:after="0" w:line="189" w:lineRule="exact"/>
        <w:rPr>
          <w:sz w:val="20"/>
          <w:szCs w:val="20"/>
          <w:color w:val="auto"/>
        </w:rPr>
      </w:pPr>
    </w:p>
    <w:p>
      <w:pPr>
        <w:ind w:right="40" w:firstLine="436"/>
        <w:spacing w:after="0" w:line="253"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 forma computations contemplated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(or, prior to the delivery of any such financial statements, ending with the last fiscal quarter included in the financial statements referred to in</w:t>
      </w:r>
    </w:p>
    <w:p>
      <w:pPr>
        <w:spacing w:after="0" w:line="2"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and, to the extent applicable, to the historical earnings and cash flows associated with the assets acquired or disposed of and any related incurrence or reduction of Indebtedness, all in accordance with Article 11 of Regulation S-X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 forma calculations shall not include any cost savings (other than cost savings and cost synergies permitted to be included in the determination of Consolidated EBITDA pursuant to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of the definition thereof (subject to the caps set forth in such definition)) or revenue synergies.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Leverage Ratios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1"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for purposes of calculating any leverage ratio herein in connection with the incurrence of any Indebtedness, (i) there shall be no netting of the cash proceeds proposed to be received in connection with the incurrence of such Indebtedness and (ii) to the extent the Indebtedness to be incurred is revolving Indebtedness, such incurred revolving Indebtedness (or if applicable, the portion (and only such portion) of the increased commitments thereunder) shall be treated as fully drawn.</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the same section of any Loan Document that does not require compliance with a financial ratio or test (any such amounts, including baskets determined by reference to Consolidated EBITDA,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the same section of any Loan Document that requires compliance with any such financial ratio or test (any such amounts, the “</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it is understood and agreed that, for purposes of this Agreement, the Fixed Amounts under such section (and any cash proceeds thereof) shall be disregarded in the calculation of the financial ratio or test applicable to the Incurrence Based Amounts in connection with such substantially concurrent incurrence.</w:t>
      </w:r>
    </w:p>
    <w:p>
      <w:pPr>
        <w:spacing w:after="0" w:line="188"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delayed draw term loan Indebtedness is incurred in reliance on a provision of any Loan Document that requires compliance with a Secured Net Leverage Ratio or Total Net Leverage Ratio incurrence test, such applicable leverage ratio shall be calculated assuming the full amount of such Indebtedness has been drawn on the date of testing thereof, and with respect to any subsequent calculation of the Secured Net Leverage Ratio or the Total Net Leverage Ratio for purposes of incurrence of any other Indebtedness (but not, for the avoidance of doubt, for purposes of testing the Financial Covenants other than in connection with any such incurrence), such delayed draw term loan Indebtedness shall be deemed drawn until the earlier of (i) the full drawing thereof and (ii) the date of termination of any remaining unused commitments in respect thereof.</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Limited Conditionality Transactions</w:t>
      </w:r>
      <w:r>
        <w:rPr>
          <w:rFonts w:ascii="Times New Roman" w:cs="Times New Roman" w:eastAsia="Times New Roman" w:hAnsi="Times New Roman"/>
          <w:sz w:val="18"/>
          <w:szCs w:val="18"/>
          <w:color w:val="auto"/>
        </w:rPr>
        <w:t>. As it relates to any action being taken solely in connection with a Limited Conditionality Transaction (other than any extension of credit under the Revolving Facility), for purposes of:</w:t>
      </w:r>
    </w:p>
    <w:p>
      <w:pPr>
        <w:spacing w:after="0" w:line="54" w:lineRule="exact"/>
        <w:rPr>
          <w:sz w:val="20"/>
          <w:szCs w:val="20"/>
          <w:color w:val="auto"/>
        </w:rPr>
      </w:pPr>
    </w:p>
    <w:p>
      <w:pPr>
        <w:ind w:left="680" w:hanging="244"/>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compliance with any provision of this Agreement (other than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itself, but including any other provision of this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that references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which requires the calculation of the Total Net Leverage Ratio, Secured Net Leverage Ratio or Consolidated Interest Coverage Ratio,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71" w:name="page72"/>
    <w:bookmarkEnd w:id="71"/>
    <w:p>
      <w:pPr>
        <w:ind w:right="120" w:firstLine="436"/>
        <w:spacing w:after="0" w:line="266"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determining compliance with representations and warranties, Defaults or Events of Default (other than in the case of any determination under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 respect to the obligation of each Revolving Lender to make a Revolving Loan on the occasion of any Borrowing, or of the Issuing Banks to issue, amend or extend any Letter of Credit); or</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baskets or exceptions set forth in this Agreement (including, without limitation, baskets determined by reference to Consolidated EBITDA);</w:t>
      </w:r>
    </w:p>
    <w:p>
      <w:pPr>
        <w:spacing w:after="0" w:line="5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each case, at the option of the Borrower (the Borrower’s election to exercise such option in connection with any Limited Conditionality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the date the definitive agreements or irrevocable notice for or declaration of such Limited Conditionality Transaction are entered into or delivered, as applicable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giving pro forma effect to the Limited Conditionality Transaction (and the other transactions to be entered into in connection therewith), the Borrower or any of its Subsidiaries would have been permitted to take such action on the relevant LCT Test Date in compliance with such ratio, test or basket, such ratio, test (including compliance with representations, warranties, Defaults and Events of Default) or basket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to the extent the relevant action requires no Default or Event of Default (as applicable) to have occurred, no Default or Event of Default (as applicable) shall exist and be continuing at the time of the LCT Test Date and no Specified Event of Default shall exist and be continuing immediately prior to or immediately after giving effect to such Limited Conditionality Transaction.</w:t>
      </w:r>
    </w:p>
    <w:p>
      <w:pPr>
        <w:spacing w:after="0" w:line="194"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For the avoidance of doubt, if the Borrower has made an LCT Election and any of the ratios, tests or baskets for which compliance was determined or tested as of the LCT Test Date would have failed to have been complied with, or any representation or warranty would be breached or any Default or Event of Default blocker would apply, as a result of fluctuations in any such ratio, test or basket, including due to fluctuations in Consolidated EBITDA of the Borrower or the Person subject to such Limited Conditionality Transaction, or as a result of the occurrence of any Default or Event of Default or other event, in each case, at or prior to the consummation of the relevant transaction or action, such baskets, tests or ratios will not be deemed to have failed to have been complied with as a result of such fluctuations, such representation and warranty shall be deemed to not have been breached, and such Default or Event of Default shall be deemed not to have occurred. If the Borrower has made an LCT Election for any Limited Conditionality Transaction, then in connection with any calculation of any ratio or test (other than that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itself, but including any other provision of this Agreement that references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with respect to the incurrence of Indebtedness or Liens, the making of Restricted Payments, the making of any Investment, the making of Restricted Debt Payments, or mergers, the conveyance, lease or other transfer of all or substantially all of the assets of the Borrower (each, a “</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following the relevant LCT Test Date and prior to the earlier of the date on which such Limited Conditionality Transaction is consummated or the date that the definitive agreement or irrevocable notice for such Limited Conditionality Transaction is terminated or expires without consummation of such Limited Conditionality Transaction, for purposes of determining whether such Subsequent Transaction is permitted under this Agreement, any such ratio or test shall be required to be satisfied on a pro forma</w:t>
      </w:r>
    </w:p>
    <w:p>
      <w:pPr>
        <w:spacing w:after="0" w:line="1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basis assuming such Limited Conditionality Transaction and other transactions in connection therewith (including any incurrence of Indebtedness and the use of proceeds thereof) have been consummated.</w:t>
      </w:r>
    </w:p>
    <w:p>
      <w:pPr>
        <w:spacing w:after="0" w:line="181"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6"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Issuing Bank, as applicable, shall determine the Dollar Equivalent amounts of Term Benchmark Borrowings or RFR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applicable Issuing Bank, as applicable.</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in such currency of such amount (rounded to the nearest unit of such Alternative Currency, with 0.5 of a unit being rounded upward), as determined by the Administrative Agent or the applicable Issuing Bank, as the case may be.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ind w:right="3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Subject to the terms and conditions set forth herein, each Revolving Lender (severally and not jointly) agrees to make Revolving Loans in Dollars or one or more Alternative Currencies to the Borrower from time to time during the Revolving Credit Availability Period in an aggregate principal amount that will not result in (a) the Dollar Equivalent of such Lender’s Revolving Credit Exposure exceeding such Lender’s Revolving Commitment, (b) the Dollar Equivalent of the Total Revolving Credit Exposure denominated in Alternative Currencies exceeding the Alternative Currency Sublimit or (c) the Dollar Equivalent Total Revolving Credit Exposure exceeding the aggregate Revolving Commitments. Within the foregoing limits and subject to the terms and conditions set forth herein, the Borrower may borrow, prepay and reborrow Revolving Loans.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1"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each Borrowing shall be comprised (i) in the case of Borrowings in Dollars, entirely of ABR Loans or Term</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Benchmark Loans and (ii) in the case of Borrowings in any other Agreed Currency, entirely of Term Benchmark Loans or RFR Loans, as applicable, in each case of the same Agreed Currency, as the Borrower may request in accordance herewith. Each Lender at its option may make any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3" w:name="page74"/>
    <w:bookmarkEnd w:id="73"/>
    <w:p>
      <w:pPr>
        <w:ind w:right="20" w:firstLine="436"/>
        <w:spacing w:after="0" w:line="255"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commencement of each Interest Period for any Term Benchmark Borrowing, such Borrowing shall be in an aggregate amount that is an integral multiple of $500,000 and not less than $1,000,000. At the time that each ABR Borrowing and/or RFR Borrowing is made, such Borrowing shall be in an aggregate amount that is an integral multiple of $250,000 and not less than $500,000;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Borrowing may be in an aggregate amount that is equal to the entire unused balance of the aggregate Revolving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(10) Term Benchmark Borrowings or RFR Borrowings outstanding (or such greater number as may be agreed to by the Administrative Agent).</w:t>
      </w:r>
    </w:p>
    <w:p>
      <w:pPr>
        <w:spacing w:after="0" w:line="188"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To request a Borrowing, the Borrower shall notify the Administrative Agent of such request by irrevocable written notice (via a written Borrowing Request signed by a Responsible Officer of the Borrower) (a) in the case of a Term Benchmark Borrowing denominated in Dollars, not later than 11:00 a.m., New York City time, three U.S. Government Securities Business Days before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Borrowing Request for the Borrowing to be made on the Effective Date may be delivered one U.S. Government Securities Business Day prior to the Effective Date), (b) in the case of a Term Benchmark Borrowing denominated in Euros, not later than 12:00 p.m., New York City time, three Business Days before the date of the proposed Borrowing, (c) in the case of a Term Benchmark Borrowing denominated in Yen or Australian Dollars, not later than 12:00 p.m., New York City time, five Business Days before the date of the proposed Borrowing, (d) in the case of an RFR Borrowing denominated in Sterling, Swiss Francs or Singapore Dollars not later than 11:00 a.m., New York City time, five RFR Business Days before the date of the proposed Borrowing or (e) in the case of an ABR Borrowing, not later than 10:00 a.m., New York City time on the date of the proposed Borrowing (or, in each case, such later date and time as the Administrative Agent may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in the case of Borrowings requested after the Effective Date in connection with an Acquisition or similar Investment that constitutes a Limited Conditionality Transaction (and subject to payment of amounts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notice of Borrowing may state that such notice is conditioned upon the consummation of such Acquisition or Investment, in which case such notice may be revoked or extended by the Borrower (by notice to the Administrative Agent on or prior to the specified effective date) if such condition is not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such Borrowing Request is submitted through an Approved Borrower Portal, the foregoing signature requirement may be waived at the sole discretion of the Administrative Agent.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680" w:hanging="244"/>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Currency and aggregate principal amount of the requested Borrowing;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Term Benchmark Borrowing or a RFR Borrowing;</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auto"/>
        </w:rPr>
      </w:pPr>
    </w:p>
    <w:p>
      <w:pPr>
        <w:ind w:right="820" w:firstLine="436"/>
        <w:spacing w:after="0" w:line="282"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no election as to the currency of a Borrowing is specified, then the requested Revolving Borrowing shall be made in Dollars. If no election as to the Type of Borrowing is specified, then the requested Borrowing shall be an ABR Borrowing made in Dollars. If no Interest Period is specified with respect to any requested Term Benchmark Borrowing, then the Borrower shall be deemed to have selected an Interest Period of one month’s duration.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in no event shall the Borrower be permitted to request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CBR Loan or, prior to a Benchmark Transition Event and Benchmark Replacement Date with respect to the Term SOFR Rate, an RFR Loan bearing interest based on Daily Simple SOFR (it being understood and agreed that a Central Bank Rate, the Japanese Prime Rate and Daily Simple SOFR shall only apply to the extent provided in </w:t>
      </w:r>
      <w:r>
        <w:rPr>
          <w:rFonts w:ascii="Times New Roman" w:cs="Times New Roman" w:eastAsia="Times New Roman" w:hAnsi="Times New Roman"/>
          <w:sz w:val="18"/>
          <w:szCs w:val="18"/>
          <w:u w:val="single" w:color="auto"/>
          <w:color w:val="auto"/>
        </w:rPr>
        <w:t>Sections 2.08(e)</w:t>
      </w:r>
      <w:r>
        <w:rPr>
          <w:rFonts w:ascii="Times New Roman" w:cs="Times New Roman" w:eastAsia="Times New Roman" w:hAnsi="Times New Roman"/>
          <w:sz w:val="18"/>
          <w:szCs w:val="18"/>
          <w:color w:val="auto"/>
        </w:rPr>
        <w:t xml:space="preserve"> (solely with respect to the Central Bank Rate and the Japanese Prime Rate),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2.14(f)</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the Borrower may request any Issuing Bank to issue Letters of Credit denominated in Agreed Currencies or as the applicant thereof for the support of its or its Subsidiaries’ obligations, in a form reasonably acceptable to the Administrative Agent and the relevant Issuing Bank, at any time and from time to time during the Revolving Credit Availability Period.</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6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Issuance, Amendment, Extension; Certain Conditions</w:t>
      </w:r>
      <w:r>
        <w:rPr>
          <w:rFonts w:ascii="Times New Roman" w:cs="Times New Roman" w:eastAsia="Times New Roman" w:hAnsi="Times New Roman"/>
          <w:sz w:val="17"/>
          <w:szCs w:val="17"/>
          <w:color w:val="auto"/>
        </w:rPr>
        <w:t xml:space="preserve">. To request the issuance of a Letter of Credit (or the amendment or extension of an outstanding Letter of Credit), the Borrower shall hand deliver or telecopy (or transmit by electronic communication, including an Approved Borrower Portal, if arrangements for doing so have been approved by the relevant Issuing Bank) to an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w:t>
      </w:r>
      <w:r>
        <w:rPr>
          <w:rFonts w:ascii="Times New Roman" w:cs="Times New Roman" w:eastAsia="Times New Roman" w:hAnsi="Times New Roman"/>
          <w:sz w:val="17"/>
          <w:szCs w:val="17"/>
          <w:u w:val="single" w:color="auto"/>
          <w:color w:val="auto"/>
        </w:rPr>
        <w:t>Section 2.06(c))</w:t>
      </w:r>
      <w:r>
        <w:rPr>
          <w:rFonts w:ascii="Times New Roman" w:cs="Times New Roman" w:eastAsia="Times New Roman" w:hAnsi="Times New Roman"/>
          <w:sz w:val="17"/>
          <w:szCs w:val="17"/>
          <w:color w:val="auto"/>
        </w:rPr>
        <w:t>, the amount and currency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relevant Issuing Bank and using the relevant Issuing Bank’s standard form (each, a “</w:t>
      </w:r>
      <w:r>
        <w:rPr>
          <w:rFonts w:ascii="Times New Roman" w:cs="Times New Roman" w:eastAsia="Times New Roman" w:hAnsi="Times New Roman"/>
          <w:sz w:val="17"/>
          <w:szCs w:val="17"/>
          <w:u w:val="single" w:color="auto"/>
          <w:color w:val="auto"/>
        </w:rPr>
        <w:t>Letter of Credit Agreement</w:t>
      </w:r>
      <w:r>
        <w:rPr>
          <w:rFonts w:ascii="Times New Roman" w:cs="Times New Roman" w:eastAsia="Times New Roman" w:hAnsi="Times New Roman"/>
          <w:sz w:val="17"/>
          <w:szCs w:val="17"/>
          <w:color w:val="auto"/>
        </w:rPr>
        <w:t xml:space="preserve">”).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amount of the LC Exposure shall not exceed $100,000,000, (ii) the sum of (x) the aggregate undrawn amount of all outstanding Letters of Credit issued by any Issuing Bank at such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(y) the aggregate amount of all LC Disbursements made by such Issuing Bank that have not yet been reimbursed by or on behalf of the Borrower at such time (such sum for any Issuing Bank at any time of determination, its “</w:t>
      </w:r>
      <w:r>
        <w:rPr>
          <w:rFonts w:ascii="Times New Roman" w:cs="Times New Roman" w:eastAsia="Times New Roman" w:hAnsi="Times New Roman"/>
          <w:sz w:val="17"/>
          <w:szCs w:val="17"/>
          <w:u w:val="single" w:color="auto"/>
          <w:color w:val="auto"/>
        </w:rPr>
        <w:t>Outstanding LC Amount</w:t>
      </w:r>
      <w:r>
        <w:rPr>
          <w:rFonts w:ascii="Times New Roman" w:cs="Times New Roman" w:eastAsia="Times New Roman" w:hAnsi="Times New Roman"/>
          <w:sz w:val="17"/>
          <w:szCs w:val="17"/>
          <w:color w:val="auto"/>
        </w:rPr>
        <w:t>”) shall not exceed such Issuing Bank’s Letter of Credit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but at all times subject to the immediately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5" w:name="page76"/>
    <w:bookmarkEnd w:id="75"/>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and the immediately succeeding </w:t>
      </w:r>
      <w:r>
        <w:rPr>
          <w:rFonts w:ascii="Times New Roman" w:cs="Times New Roman" w:eastAsia="Times New Roman" w:hAnsi="Times New Roman"/>
          <w:sz w:val="17"/>
          <w:szCs w:val="17"/>
          <w:u w:val="single" w:color="auto"/>
          <w:color w:val="auto"/>
        </w:rPr>
        <w:t>clauses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an Issuing Bank may, in its sole discretion, agree to issue, amend or extend a Letter of Credit if such issuance, amendment or extension would cause the Dollar Equivalent of such Issuing Bank’s Outstanding LC Amount to exceed its Letter of Credit Commitment), (iii) the Dollar Equivalent of the Total Revolving Credit Exposure shall not exceed the aggregate Revolving Commitments, (iv) the Dollar Equivalent of each Lender’s Revolving Credit Exposure shall not exceed such Lender’s Revolving Commitment and</w:t>
      </w:r>
    </w:p>
    <w:p>
      <w:pPr>
        <w:spacing w:after="0" w:line="3" w:lineRule="exact"/>
        <w:rPr>
          <w:sz w:val="20"/>
          <w:szCs w:val="20"/>
          <w:color w:val="auto"/>
        </w:rPr>
      </w:pPr>
    </w:p>
    <w:p>
      <w:pPr>
        <w:jc w:val="both"/>
        <w:ind w:left="4" w:hanging="4"/>
        <w:spacing w:after="0" w:line="253"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Total Revolving Credit Exposure in all Alternative Currencies shall not exceed the Alternative Currency Sublimit. The Borrower may, at any time and from time to time, reduce the Letter of Credit Commitment of any Issuing Bank with the consent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reduce the Letter of Credit Commitment of any Issuing Bank if, after giving effect of such reduction, the conditions set forth in the immediately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shall not be satisfied. Notwithstanding the foregoing, in no event shall more than 20 Letters of Credit (or such number as may be agreed to by the Administrative Agent) be outstanding.</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 Issuing Bank shall be under any obligation to issue any Letter of Credit if:</w:t>
      </w:r>
    </w:p>
    <w:p>
      <w:pPr>
        <w:spacing w:after="0" w:line="117" w:lineRule="exact"/>
        <w:rPr>
          <w:sz w:val="20"/>
          <w:szCs w:val="20"/>
          <w:color w:val="auto"/>
        </w:rPr>
      </w:pPr>
    </w:p>
    <w:p>
      <w:pPr>
        <w:ind w:left="444" w:right="40" w:firstLine="419"/>
        <w:spacing w:after="0" w:line="256" w:lineRule="auto"/>
        <w:tabs>
          <w:tab w:leader="none" w:pos="108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79"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 generally.</w:t>
      </w:r>
    </w:p>
    <w:p>
      <w:pPr>
        <w:spacing w:after="0" w:line="225" w:lineRule="exact"/>
        <w:rPr>
          <w:rFonts w:ascii="Times New Roman" w:cs="Times New Roman" w:eastAsia="Times New Roman" w:hAnsi="Times New Roman"/>
          <w:sz w:val="18"/>
          <w:szCs w:val="18"/>
          <w:color w:val="auto"/>
        </w:rPr>
      </w:pPr>
    </w:p>
    <w:p>
      <w:pPr>
        <w:ind w:left="4" w:right="100" w:firstLine="436"/>
        <w:spacing w:after="0" w:line="269" w:lineRule="auto"/>
        <w:tabs>
          <w:tab w:leader="none" w:pos="68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xml:space="preserve">. Each Letter of Credit shall expire (or be subject to termination by notice from the relevant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Business Days prior to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Letter of Credit with a one-year tenor may contain customary automatic extension provisions agreed upon by the Borrower and the Issuing Bank that provide for the extension thereof for additional one-year periods (which shall in no event extend beyond the date referenced in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subject to a right on the part of the Issuing Bank to prevent any such extension from occurring by giving notice to the beneficiary in advance of any such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Letter of Credit shall not be required to expire on such fifth (5th) Business Day prior to the Maturity Date if such Letter of Credit is cash collateralized or backstopped in an amount, by an institution and otherwise pursuant to arrangements, in each case reasonably acceptable to the applicable Issuing Bank. For the avoidance of doubt, if the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189" w:lineRule="exact"/>
        <w:rPr>
          <w:rFonts w:ascii="Times New Roman" w:cs="Times New Roman" w:eastAsia="Times New Roman" w:hAnsi="Times New Roman"/>
          <w:sz w:val="18"/>
          <w:szCs w:val="18"/>
          <w:u w:val="single" w:color="auto"/>
          <w:color w:val="auto"/>
        </w:rPr>
      </w:pPr>
    </w:p>
    <w:p>
      <w:pPr>
        <w:ind w:left="4" w:firstLine="436"/>
        <w:spacing w:after="0" w:line="261" w:lineRule="auto"/>
        <w:tabs>
          <w:tab w:leader="none" w:pos="6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any Issuing Bank or the Revolving Lenders, each Issuing Bank hereby grants to each Revolving Lender, and each Revolving Lender hereby acquires from each Issuing Bank, a participation in such Letter of Credit equal to such Lender’s Applicable Percentage of the aggregate amount available to be drawn under such Letter of Credit.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6" w:name="page77"/>
    <w:bookmarkEnd w:id="7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consideration and in furtherance of the foregoing, each Revolving Lender hereby absolutely and unconditionally agrees to pay to the Administrative Agent, for the account of the relevant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Section, or of any reimbursement payment required to be refunded to the Borrower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w:t>
      </w:r>
    </w:p>
    <w:p>
      <w:pPr>
        <w:spacing w:after="0" w:line="189" w:lineRule="exact"/>
        <w:rPr>
          <w:sz w:val="20"/>
          <w:szCs w:val="20"/>
          <w:color w:val="auto"/>
        </w:rPr>
      </w:pPr>
    </w:p>
    <w:p>
      <w:pPr>
        <w:ind w:firstLine="436"/>
        <w:spacing w:after="0" w:line="252"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any Issuing Bank shall make any LC Disbursement in respect of a Letter of Credit, the Borrower shall reimburse such LC Disbursement by paying to the Administrative Agent an amount in the currency of such LC Disbursement equal to such LC Disbursement, calculated as of the date such Issuing Bank made such LC Disbursement not later than 12:00 noon, New York City time, on the date that such LC Disbursement is made, if the Borrower has received notice of such LC Disbursement prior to 10:00 am, New York City time, on such date, or, if the Borrower has not received such notice prior to such time on such date, then not later than 12:00 noon, New York City time, on the Business Day immediately following the day that the Borrower received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such LC Disbursement is denominated in Dollars,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financed with an ABR Revolving Borrowing in an equivalent amount of such LC Disbursement or (y) if such LC Disbursement is denominated in an Alternative Currency,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converted into an equivalent amount of an ABR Revolving Borrowing denominated in Dollars in an amount equal to the Dollar Equivalent of such Alternative Currency, and, in each case, to the extent so financed, the Borrower’s obligation to make such payment shall be discharged and replaced by the resulting ABR Revolving Borrowing.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relevant Issuing Bank the amounts so received by it from the Revolving Lenders. Promptly following receipt by the Administrative Agent of any payment from the Borrower pursuant to this paragraph, the Administrative Agent shall distribute such payment to the relevant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Revolving Loans as contemplated above) shall not constitute a Loan and shall not relieve the Borrower of its obligation to reimburse such LC Disbursement.</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(iv) any other event or circumstance whatsoever, whether or not similar to any of the foregoing, that might,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but for the provisions of this Section, constitute a legal or equitable discharge of, or provide a right of setoff against, the Borrower’s obligations hereunder or (v) any adverse change in the relevant exchange rates or in the availability of the relevant Alternative Currency to the Borrower or any Subsidiary or in the relevant currency markets generally.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3" w:lineRule="exact"/>
        <w:rPr>
          <w:sz w:val="20"/>
          <w:szCs w:val="20"/>
          <w:color w:val="auto"/>
        </w:rPr>
      </w:pPr>
    </w:p>
    <w:p>
      <w:pPr>
        <w:ind w:right="160" w:firstLine="436"/>
        <w:spacing w:after="0" w:line="256"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within the time allowed by applicable law or the specific terms of the Letter of Credit following its receipt thereof, examine all documents purporting to represent a demand for payment under a Letter of Credit. Each Issuing Bank shall promptly after such examination notify the Administrative Agent and the Borrower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187"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shall make any LC Disbursement, then, unless the Borrower shall reimburse such LC Disbursement in full in the applicable currency on the date on which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2.13(c)</w:t>
      </w:r>
      <w:r>
        <w:rPr>
          <w:rFonts w:ascii="Times New Roman" w:cs="Times New Roman" w:eastAsia="Times New Roman" w:hAnsi="Times New Roman"/>
          <w:sz w:val="18"/>
          <w:szCs w:val="18"/>
          <w:color w:val="auto"/>
        </w:rPr>
        <w:t xml:space="preserve"> shall apply. Interest accrued pursuant to this paragraph shall be for the account of such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to reimburse such Issuing Bank shall be for the account of such Lender to the extent of such payment.</w:t>
      </w:r>
    </w:p>
    <w:p>
      <w:pPr>
        <w:spacing w:after="0" w:line="188" w:lineRule="exact"/>
        <w:rPr>
          <w:rFonts w:ascii="Times New Roman" w:cs="Times New Roman" w:eastAsia="Times New Roman" w:hAnsi="Times New Roman"/>
          <w:sz w:val="18"/>
          <w:szCs w:val="18"/>
          <w:color w:val="auto"/>
        </w:rPr>
      </w:pPr>
    </w:p>
    <w:p>
      <w:pPr>
        <w:ind w:right="180" w:firstLine="436"/>
        <w:spacing w:after="0" w:line="258"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an Issuing Bank</w:t>
      </w:r>
      <w:r>
        <w:rPr>
          <w:rFonts w:ascii="Times New Roman" w:cs="Times New Roman" w:eastAsia="Times New Roman" w:hAnsi="Times New Roman"/>
          <w:sz w:val="18"/>
          <w:szCs w:val="18"/>
          <w:color w:val="auto"/>
        </w:rPr>
        <w:t xml:space="preserve">. (A) Any Issuing Bank may be replaced at any time by written agreement among the Borrower, the Administrative Agent, the replaced Issuing Bank and the successor Issuing Bank. The Administrative Agent shall notify the Revolving Lenders of any such replacement of the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3" w:lineRule="exact"/>
        <w:rPr>
          <w:sz w:val="20"/>
          <w:szCs w:val="20"/>
          <w:color w:val="auto"/>
        </w:rPr>
      </w:pPr>
    </w:p>
    <w:p>
      <w:pPr>
        <w:ind w:right="120" w:firstLine="1428"/>
        <w:spacing w:after="0" w:line="266" w:lineRule="auto"/>
        <w:tabs>
          <w:tab w:leader="none" w:pos="17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Times New Roman" w:cs="Times New Roman" w:eastAsia="Times New Roman" w:hAnsi="Times New Roman"/>
          <w:sz w:val="18"/>
          <w:szCs w:val="18"/>
          <w:u w:val="single" w:color="auto"/>
          <w:color w:val="auto"/>
        </w:rPr>
        <w:t>Section 2.06(i)(A)</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ind w:right="20" w:firstLine="436"/>
        <w:spacing w:after="0" w:line="268" w:lineRule="auto"/>
        <w:tabs>
          <w:tab w:leader="none" w:pos="6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Collateralization</w:t>
      </w:r>
      <w:r>
        <w:rPr>
          <w:rFonts w:ascii="Times New Roman" w:cs="Times New Roman" w:eastAsia="Times New Roman" w:hAnsi="Times New Roman"/>
          <w:sz w:val="17"/>
          <w:szCs w:val="17"/>
          <w:color w:val="auto"/>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Borrower shall deposit in an account with the Administrative Agent, in the name of the Administrative Agent and for the benefit of the Revolving Lenders (the “</w:t>
      </w:r>
      <w:r>
        <w:rPr>
          <w:rFonts w:ascii="Times New Roman" w:cs="Times New Roman" w:eastAsia="Times New Roman" w:hAnsi="Times New Roman"/>
          <w:sz w:val="17"/>
          <w:szCs w:val="17"/>
          <w:u w:val="single" w:color="auto"/>
          <w:color w:val="auto"/>
        </w:rPr>
        <w:t>LC Collateral Account</w:t>
      </w:r>
      <w:r>
        <w:rPr>
          <w:rFonts w:ascii="Times New Roman" w:cs="Times New Roman" w:eastAsia="Times New Roman" w:hAnsi="Times New Roman"/>
          <w:sz w:val="17"/>
          <w:szCs w:val="17"/>
          <w:color w:val="auto"/>
        </w:rPr>
        <w:t xml:space="preserve">”), an amount in cash equal to 103% of the amount of the LC Exposure in the applicable currencies as of such date plus any accrued and unpaid interest thereon;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7"/>
          <w:szCs w:val="17"/>
          <w:u w:val="single" w:color="auto"/>
          <w:color w:val="auto"/>
        </w:rPr>
        <w:t>Section 7.01(h)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7.01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7.01(j)</w:t>
      </w:r>
      <w:r>
        <w:rPr>
          <w:rFonts w:ascii="Times New Roman" w:cs="Times New Roman" w:eastAsia="Times New Roman" w:hAnsi="Times New Roman"/>
          <w:sz w:val="17"/>
          <w:szCs w:val="17"/>
          <w:color w:val="auto"/>
        </w:rPr>
        <w:t>. The Borrower also shall deposit cash collateral pursuant to this paragraph as and to the extent required by</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Such deposit shall be held by the Administrative Agent as collateral for the payment and performance of the Secured Obligations. In addition, and without limiting the foregoing or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if any LC Exposure remains outstanding after the expiration date specified in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the Borrower shall immediately deposit into the LC Collateral Account an amount in cash equal to 103% of the amount of such LC Exposure as of such date plus any accrued and unpaid interest thereon.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such amount (to the extent not applied as aforesaid) shall be returned to the Borrower as and to the extent that, immediately after giving effect to such return, the Dollar Equivalent of the Total Revolving Credit Exposure would not exceed the aggregate Revolving Commitment, and no Event of Default shall have occurred and be continuing.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9" w:name="page80"/>
    <w:bookmarkEnd w:id="79"/>
    <w:p>
      <w:pPr>
        <w:ind w:left="4" w:right="40" w:firstLine="436"/>
        <w:spacing w:after="0" w:line="254"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Borrower (i) shall reimburse, indemnify and compensate the relevant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88"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Agreements</w:t>
      </w:r>
      <w:r>
        <w:rPr>
          <w:rFonts w:ascii="Times New Roman" w:cs="Times New Roman" w:eastAsia="Times New Roman" w:hAnsi="Times New Roman"/>
          <w:sz w:val="18"/>
          <w:szCs w:val="18"/>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of such payment(s), (iii) on any Business Day on which the Borrower fails to reimburse any amount required to be reimbursed to such Issuing Bank on such day, the date of such failure and the amount and currency of such payment in respect of Letters of Credit and</w:t>
      </w:r>
    </w:p>
    <w:p>
      <w:pPr>
        <w:spacing w:after="0" w:line="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other Business Day, such other information as the Administrative Agent shall reasonably request.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55" w:lineRule="auto"/>
        <w:tabs>
          <w:tab w:leader="none" w:pos="6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solely by wire transfer of immediately available funds by 12:00 noon, New York City time, to the account of the Administrative Agent most recently designated by it for such purpose by notice to the Lenders. Except in respect of the provisions of this Agreement covering the reimbursement of Letters of Credit, the Administrative Agent will make such Loans available to the Borrower by promptly crediting the funds so received in the aforesaid account of the Administrative Agent to an account of the Borrower maintained with the Administrative Agent and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relevant Issuing Bank.</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Alternative Currencies, in accordance with such market practice, in each case, as applicable. If such Lender pays such amount to the Administrative Agent, then such amount shall constitute such Lender’s Loan included in such Borrowing.</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6"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notify the Administrative Agent of such election (by irrevocable written notice via an Interest Election Request signed by a Responsible Officer of the Borrower)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Interest Election Request is submitted through an Approved Borrower Portal, the foregoing signature requirement may be waived at the sole discretion of the Administrative Agent. Notwithstanding any contrary provision herein,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not be construed to permit the Borrower to (i) elect an Interest Period for Term Benchmark Loans that does not comply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or (ii) convert any Borrowing to a Borrowing of a Type not available under the Class of Commitments pursuant to which such Borrowing was made.</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0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Agreed Currency and principal amount of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(in the case of Borrowings denominated in Dollars), a Term Benchmark Borrowing or an RFR Borrowing (in the case of Borrowings denominated in an Alternative Currency); and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 shall be deemed to have selected an Interest Period of one month’s duration.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in no event shall the Borrower be permitted to request pursuant to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a CBR Loan or, prior to a Benchmark Transition Event and Benchmark Replacement Date with respect to the Term SOFR Rate, an RFR Loan bearing interest based on Daily Simple SOFR (it being understood and agreed that a Central Bank Rate, the Japanese Prime Rate and Daily Simple SOFR shall only apply to the extent provided in </w:t>
      </w:r>
      <w:r>
        <w:rPr>
          <w:rFonts w:ascii="Times New Roman" w:cs="Times New Roman" w:eastAsia="Times New Roman" w:hAnsi="Times New Roman"/>
          <w:sz w:val="18"/>
          <w:szCs w:val="18"/>
          <w:u w:val="single" w:color="auto"/>
          <w:color w:val="auto"/>
        </w:rPr>
        <w:t>Sections 2.08(e)</w:t>
      </w:r>
      <w:r>
        <w:rPr>
          <w:rFonts w:ascii="Times New Roman" w:cs="Times New Roman" w:eastAsia="Times New Roman" w:hAnsi="Times New Roman"/>
          <w:sz w:val="18"/>
          <w:szCs w:val="18"/>
          <w:color w:val="auto"/>
        </w:rPr>
        <w:t xml:space="preserve"> (solely with respect to the Central Bank Rate and the Japanese Prime Rate),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2.14(f)</w:t>
      </w:r>
      <w:r>
        <w:rPr>
          <w:rFonts w:ascii="Times New Roman" w:cs="Times New Roman" w:eastAsia="Times New Roman" w:hAnsi="Times New Roman"/>
          <w:sz w:val="18"/>
          <w:szCs w:val="18"/>
          <w:color w:val="auto"/>
        </w:rPr>
        <w:t>, as applicable.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40"/>
          </w:cols>
          <w:pgMar w:left="440" w:top="270" w:right="519" w:bottom="1440" w:gutter="0" w:footer="0" w:header="0"/>
        </w:sectPr>
      </w:pPr>
    </w:p>
    <w:bookmarkStart w:id="81" w:name="page82"/>
    <w:bookmarkEnd w:id="81"/>
    <w:p>
      <w:pPr>
        <w:ind w:right="32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fails to deliver a timely Interest Election Request with respect to a Term Benchmark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an Alternative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(x)(A) each Term Benchmark Borrowing denominated in Dollars shall be converted to an ABR Borrowing at the end of the Interest Period applicable thereto and (B) each RFR Borrowing denominated in Dollars shall be converted to an ABR Borrowing immediately and (y) each Term Benchmark Borrowing and each RFR Borrowing, in each case denominated in an Alternative Currency shall bear interest at the Central Bank Rate (or in the case of Yen, the Japanese Prime Rate) for the applicable Agreed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Yen, the Japanese Prime Rate) for the applicable Agreed Currency cannot be determined, any outstanding affected Term Benchmark Loans denominated in any Agreed Currency other than Dollars shall either be (i) converted to an ABR Borrowing denominated in Dollars (in an amount equal to the Dollar Equivalent of such Alternative Currency) at the end of the Interest Period, as applicable, therefor or (ii) prepaid at the end of the applicable Interest Period, as applicable,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by the earlier of (x) the date that is three Business Days after receipt by the Borrower of such notice and (y) the last day of the current Interest Period for the applicable Term Benchmark Loan, the Borrower shall be deemed to have elected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9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of Commitments</w:t>
      </w:r>
      <w:r>
        <w:rPr>
          <w:rFonts w:ascii="Times New Roman" w:cs="Times New Roman" w:eastAsia="Times New Roman" w:hAnsi="Times New Roman"/>
          <w:sz w:val="18"/>
          <w:szCs w:val="18"/>
          <w:color w:val="auto"/>
        </w:rPr>
        <w:t>. (a) Unless previously terminated, the Revolving Commitments of each Lender shall terminate on the Maturity Date.</w:t>
      </w:r>
    </w:p>
    <w:p>
      <w:pPr>
        <w:spacing w:after="0" w:line="162" w:lineRule="exact"/>
        <w:rPr>
          <w:sz w:val="20"/>
          <w:szCs w:val="20"/>
          <w:color w:val="auto"/>
        </w:rPr>
      </w:pPr>
    </w:p>
    <w:p>
      <w:pPr>
        <w:jc w:val="both"/>
        <w:ind w:right="80" w:firstLine="436"/>
        <w:spacing w:after="0" w:line="258"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$1,000,000 and not less than $5,000,000 and (ii) the Borrower shall not terminate or reduce the Revolving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 the amount of the Dollar Equivalent of any Lender’s Revolving Credit Exposure would exceed its Revolving Commitment or (B) the Dollar Equivalent of the Total Revolving Credit Exposure would exceed the aggregate Revolving Commitments.</w:t>
      </w:r>
    </w:p>
    <w:p>
      <w:pPr>
        <w:spacing w:after="0" w:line="183"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Revolving Commitments under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at least three Business Days prior to the effective date of such termination or reduction (or such later date or time as the Administrative Agent may agree),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or reduction of the Revolving Commitments delivered by the Borrower may state that such notice is conditioned upon the effectiveness of other credit facilities or other transactions or events specified therein, in which case such notice may be revoked or extended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applicable Lenders in accordance with their respective Revolving Commitments.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82" w:name="page83"/>
    <w:bookmarkEnd w:id="8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36"/>
        <w:spacing w:after="0" w:line="282"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 The Borrower hereby unconditionally promises to pay to the Administrative Agent for the account of each Revolving Lender the then-unpaid principal amount of each Revolving Loan on the Maturity Date.</w:t>
      </w:r>
    </w:p>
    <w:p>
      <w:pPr>
        <w:spacing w:after="0" w:line="161"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prima facie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Obligations (including, without limitation, the obligation of the Borrower to repay the Loans in accordance with the terms of this Agreement).</w:t>
      </w:r>
    </w:p>
    <w:p>
      <w:pPr>
        <w:spacing w:after="0" w:line="179"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36"/>
        <w:spacing w:after="0" w:line="268" w:lineRule="auto"/>
        <w:tabs>
          <w:tab w:leader="none" w:pos="68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have the right at any time and from time to time to prepay any Borrowing in whole or in part, subject to prior notice in accordance with the provisions of this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The Borrower shall notify the Administrative Agent by telephone (confirmed by telecopy or electronic communication, including an Approved Borrower Portal, if arrangements for doing so have been approved by the Administrative Agent) of any prepayment hereunder (i) in the case of prepayment of a Term Benchmark Borrowing denominated in Dollars, not later than 11:00 a.m., New York City time, three Business Days before the date of prepayment, (ii) in the case of prepayment of an RFR Borrowing denominated in Dollars, not later than 11:00 a.m., New York City time, five (5) Business Days before the date of prepayment, (iii) in the case of a prepayment of a Term Benchmark Borrowing denominated in Euros or Yen, not later than 12:00 p.m. New York City time, three (3) Business Days before the date of prepayment, (iv) in the case of a prepayment of a Term Benchmark Borrowing denominated in Australian Dollars, not later than 12:00 p.m. New York City time, four</w:t>
      </w:r>
    </w:p>
    <w:p>
      <w:pPr>
        <w:ind w:left="4" w:right="560" w:hanging="4"/>
        <w:spacing w:after="0" w:line="260"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before the date of prepayment, (v) in the case of a prepayment of an RFR Borrowing denominated in Sterling, Swiss Francs or Singapore Dollars, not later than 11:00 a.m.,</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3" w:name="page84"/>
    <w:bookmarkEnd w:id="8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New York City time, five (5) RFR Business Days before the date of prepayment and (vi) in the case of prepayment of an ABR Borrowing, not later than 11:00 a.m., New York City time, one (1) Business Day before the date of prepayment (in each case, or such later date and time as approved by the Administrative Agent).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of prepayment of the Loans may state that such notice is conditioned upon the effectiveness of other credit facilities (including, without limitation, credit facilities evidenced by a credit agreement or an indenture) or the consummation of any other transaction or event, in which case such notice may be revoked or extended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voluntary prepayment of a Revolving Borrowing shall be applied ratably to the Revolving Loans, and each mandatory prepayment of a Revolving Borrowing shall be applied ratably to the Revolving Loans. Prepayments shall be accompanied by (i)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(ii) any break funding payments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20" w:firstLine="436"/>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Dollar Equivalent of the Total Revolving Credit Exposure exceeds the aggregate Revolving Commitments, the Borrower shall immediately repay Borrowings or cash collateralize LC Exposure in an account with the Administrative Agent pursuant to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as applicable, in an aggregate principal amount sufficient to cause the aggregate principal amount of the Dollar Equivalent of the Total Revolving Credit Exposure to be less than or equal to the aggregate Revolving Commitments.</w:t>
      </w:r>
    </w:p>
    <w:p>
      <w:pPr>
        <w:spacing w:after="0" w:line="179" w:lineRule="exact"/>
        <w:rPr>
          <w:rFonts w:ascii="Times New Roman" w:cs="Times New Roman" w:eastAsia="Times New Roman" w:hAnsi="Times New Roman"/>
          <w:sz w:val="18"/>
          <w:szCs w:val="18"/>
          <w:color w:val="auto"/>
        </w:rPr>
      </w:pPr>
    </w:p>
    <w:p>
      <w:pPr>
        <w:ind w:right="220" w:firstLine="436"/>
        <w:spacing w:after="0" w:line="258"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notifies the Borrower at any time that the aggregate amount of all Loans and LC Exposure denominated in Alternative Currencies at such time exceeds an amount equal to 103% of the Alternative Currency Sublimit then in effect, then, within two Business Days after receipt of such notice, the Borrower shall prepay Loans and/or cash collateralize Letters of Credit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in an aggregate amount sufficient to reduce such amount as of such date of payment to an amount not to exceed 100% of the Alternative Currency Sublimit then in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36"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applicable Lender in respect of such Lender’s Revolving Commitment,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accrue at the Applicable Rate on the daily amount of the Available Revolving Commitment of such Lender during the period from and including the Effective Date to but excluding the date on which such Revolving Commitment terminates. Commitment Fees accrued through and including the last day of March, June, September and December of each year shall be payable in arrears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last day and on the date on which the Revolving Commitments terminate, commencing on the first such date to occur after the date hereof.</w:t>
      </w:r>
    </w:p>
    <w:p>
      <w:pPr>
        <w:spacing w:after="0" w:line="200"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Revolving Lender a participation fee with respect to its participations in each outstanding Letter of Credit, which shall accrue on the Dollar Equivalent of the daily maximum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which shall accrue at the rate of 0.125% per annum on the Dollar Equivalent of the daily maximum amount then available to be drawn under such Letter of Credit, during the period from and including the Effective Date to but excluding the later of the date of termination of the Revolving Commitments and the date on which there ceases to be any LC Exposure, as well as such Issuing Bank’s standard fees with respect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4" w:name="page85"/>
    <w:bookmarkEnd w:id="84"/>
    <w:p>
      <w:pPr>
        <w:ind w:left="4" w:right="2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w:t>
      </w:r>
    </w:p>
    <w:p>
      <w:pPr>
        <w:spacing w:after="0" w:line="200" w:lineRule="exact"/>
        <w:rPr>
          <w:sz w:val="20"/>
          <w:szCs w:val="20"/>
          <w:color w:val="auto"/>
        </w:rPr>
      </w:pPr>
    </w:p>
    <w:p>
      <w:pPr>
        <w:ind w:left="4" w:right="20" w:firstLine="436"/>
        <w:spacing w:after="0" w:line="282" w:lineRule="auto"/>
        <w:tabs>
          <w:tab w:leader="none" w:pos="6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and to the Arrangers and Lenders, as applicable, the fees payable in the amounts and at the times separately agreed upon between the Borrower and the Administrative Agent from time to time.</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immediately available funds, to the Administrative Agent (or to the relevant Issuing Bank, in the case of fees payable to it) for distribution, in the case of Commitment Fees and participation fees, to the applicable Lenders. Fees paid shall not be refundable under any circumstances. All fees payable hereunder shall be computed on the basis of a year of 360 days and shall be payable for the actual number of days elapsed (including the first day but excluding the last day).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ABR Borrowing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225"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Benchmark Borrowing shall bear interest at the Term SOFR Rate, Adjusted EURIBOR Rate, Adjusted TIBOR Rate or the Adjusted AUD Rate, as applicable,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5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RFR Loan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Daily Simple RFR plus the Applicable Rate.</w:t>
      </w:r>
    </w:p>
    <w:p>
      <w:pPr>
        <w:spacing w:after="0" w:line="227"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in the case of overdue principal of any Loan,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in the case of any other amount,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that are Revolving Loans as provided in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380" w:firstLine="436"/>
        <w:spacing w:after="0" w:line="276" w:lineRule="auto"/>
        <w:tabs>
          <w:tab w:leader="none" w:pos="689"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Accrued interest on each Loan shall be payable in arrears on each Interest Payment Date for such Loan and, in the case of the Revolving Loans, upon termination of the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 xml:space="preserve"> shall be payable on demand,</w:t>
      </w:r>
    </w:p>
    <w:p>
      <w:pPr>
        <w:jc w:val="center"/>
        <w:ind w:left="4" w:right="20" w:hanging="4"/>
        <w:spacing w:after="0" w:line="265" w:lineRule="auto"/>
        <w:tabs>
          <w:tab w:leader="none" w:pos="26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repayment or prepayment of any Loan (other than a prepayment of an ABR Revolving Loan prior to the end of the Revolving Credit Availability Period), accrued interest on the principal amount repaid or prepaid shall be payable on the date of such repayment or prepayment and</w:t>
      </w:r>
    </w:p>
    <w:p>
      <w:pPr>
        <w:ind w:left="4" w:right="200" w:hanging="4"/>
        <w:spacing w:after="0" w:line="260" w:lineRule="auto"/>
        <w:tabs>
          <w:tab w:leader="none" w:pos="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conversion of any Term Benchmark Loan prior to the end of the current Interest Period therefor, accrued interest on such Loan shall be payable on the effective date of such conversion.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5" w:name="page86"/>
    <w:bookmarkEnd w:id="85"/>
    <w:p>
      <w:pPr>
        <w:ind w:right="40" w:firstLine="436"/>
        <w:spacing w:after="0" w:line="254"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computed by reference to the Term SOFR Rate, Daily Simple SOFR (if applicable), the EURIBOR Rate and Daily Simple RFR with respect to Swiss Francs shall be computed on the basis of a year of 360 days. Interest computed by reference to Daily Simple RFR with respect to Sterling, Daily Simple RFR with respect to Singapore Dollars, the Japanese Prime Rate (if applicable), the TIBOR Rate, the AUD Rate or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 determination of the applicable Alternate Base Rate, Term SOFR Rate, Adjusted EURIBOR Rate, EURIBOR Rate, Adjusted TIBOR Rate, TIBOR Rate, the Adjusted AUD Rate, the AUD Rate or Daily Simple RFR shall be determined by the Administrative Agent, and such determination shall be conclusive absent manifest error.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0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Term SOFR Rate, the Adjusted EURIBOR Rate, the Adjusted TIBOR Rate or the Adjusted AUD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2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Term SOFR Rate, the Adjusted EURIBOR Rate, the Adjusted TIBOR Rate or the Adjusted AUD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Daily Simple RFR for the applicable Agreed Currency will not adequately and fairly reflect the cost to such Lenders of making or maintaining their Loans included in such Borrowing for the applicable Agreed Currency;</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and (y) the Borrower delivers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for Loans denominated in Dollars,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(1) an RFR Borrowing denominated in Dollars so long as (A) adequate and reasonable means (as determined by the Administrative Agent) exist for ascertaining the Daily Simple RFR for Dollar Borrowings and (B) Daily Simple RFR for Dollar Borrowings will (as determined by the Administrative Agent) adequately and fairly reflect the cost to the Lenders of making or maintaining their Loans included in such Borrowing or (2) an ABR Borrowing if </w:t>
      </w:r>
      <w:r>
        <w:rPr>
          <w:rFonts w:ascii="Times New Roman" w:cs="Times New Roman" w:eastAsia="Times New Roman" w:hAnsi="Times New Roman"/>
          <w:sz w:val="18"/>
          <w:szCs w:val="18"/>
          <w:u w:val="single" w:color="auto"/>
          <w:color w:val="auto"/>
        </w:rPr>
        <w:t>clauses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above are not satisfied and (B) for Loans denominated in an Alternative Currency, any Interest Election Request that requests the conversion of any Borrowing to, or continuation of any Borrowing as, a Term Benchmark Borrowing or an RFR Borrowing, in each case, for the relevant benchmark,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70" w:right="499" w:bottom="1440" w:gutter="0" w:footer="0" w:header="0"/>
        </w:sectPr>
      </w:pPr>
    </w:p>
    <w:bookmarkStart w:id="86" w:name="page87"/>
    <w:bookmarkEnd w:id="8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for Loans denominated in Dollars, any Term Benchmark Loan shall on the last day of the Interest Period applicable to such Loan, be converted by the Administrative Agent to, and shall constitute, (x) an RFR Borrowing denominated in Dollars so long as </w:t>
      </w:r>
      <w:r>
        <w:rPr>
          <w:rFonts w:ascii="Times New Roman" w:cs="Times New Roman" w:eastAsia="Times New Roman" w:hAnsi="Times New Roman"/>
          <w:sz w:val="18"/>
          <w:szCs w:val="18"/>
          <w:u w:val="single" w:color="auto"/>
          <w:color w:val="auto"/>
        </w:rPr>
        <w:t>clauses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of the immediately preceding sentence are satisfied or (y) an ABR Loan if </w:t>
      </w:r>
      <w:r>
        <w:rPr>
          <w:rFonts w:ascii="Times New Roman" w:cs="Times New Roman" w:eastAsia="Times New Roman" w:hAnsi="Times New Roman"/>
          <w:sz w:val="18"/>
          <w:szCs w:val="18"/>
          <w:u w:val="single" w:color="auto"/>
          <w:color w:val="auto"/>
        </w:rPr>
        <w:t>clauses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of the immediately preceding sentence are not satisfied and (B) for Loans denominated in an Alternative Currency, (1) any Term Benchmark Loan shall, on the last day of the Interest Period applicable to such Loan bear interest at the Central Bank Rate (or in the case of the Yen, the Japanese Prime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the Yen, the Japanese Prime Rate) for the applicable Alternative Currency cannot be determined, any outstanding affected Term Benchmark Loans denominated in any Alternative Currency shall, at the Borrower’s election prior to such day: (A) be prepaid by the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the Yen, the Japanese Prime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the Yen, the Japanese Prime Rate) for the applicable Alternative Currency cannot be determined, any outstanding affected RFR Loans denominated in any Alternative Currency, at the Borrower’s election, shall either (A) be converted into ABR Loans denominated in Dollars (in an amount equal to the Dollar Equivalent of such Alternative Currency) immediately or (B) be prepaid in full immediately.</w:t>
      </w:r>
    </w:p>
    <w:p>
      <w:pPr>
        <w:spacing w:after="0" w:line="191" w:lineRule="exact"/>
        <w:rPr>
          <w:sz w:val="20"/>
          <w:szCs w:val="20"/>
          <w:color w:val="auto"/>
        </w:rPr>
      </w:pPr>
    </w:p>
    <w:p>
      <w:pPr>
        <w:ind w:right="20" w:firstLine="436"/>
        <w:spacing w:after="0" w:line="253"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7" w:name="page88"/>
    <w:bookmarkEnd w:id="87"/>
    <w:p>
      <w:pPr>
        <w:ind w:right="60" w:firstLine="436"/>
        <w:spacing w:after="0" w:line="254"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will promptly notify the Borrower and the Lenders of (1) any occurrence of a Benchmark Transition Event, (2) the implementation of any Benchmark Replacement, (3) the effectiveness of any Benchmark Replacement Conforming Changes, (4) the removal or reinstatement of any tenor of a Benchmark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and (5)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the Term SOFR Rate, EURIBOR Rate, TIBOR Rate or AUD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firstLine="436"/>
        <w:spacing w:after="0" w:line="252" w:lineRule="auto"/>
        <w:tabs>
          <w:tab w:leader="none" w:pos="6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a Term Benchmark Borrowing or conversion to or continuation of Term Benchmark Loans to be made, converted or continued during any Benchmark Unavailability Period and, failing that, either (x) the Borrower will be deemed to have converted any request for (1) a Term Benchmark Borrowing denominated in Dollars into a request for a Borrowing of or conversion to (A) an RFR Borrowing denominated in Dollars so long as the Daily Simple RFR for Dollar Borrowings is not the subject of a Benchmark Transition Event or (B) an ABR Borrowing if the Daily Simple RFR for Dollar Borrowings is the subject of a Benchmark Transition Event or (y) any request relating to a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w:t>
      </w:r>
    </w:p>
    <w:p>
      <w:pPr>
        <w:spacing w:after="0" w:line="3"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 for Loans denominated in Dollars, any Term Benchmark Loan shall on the last day of the Interest Period applicable to such Loan, be converted by the Administrative Agent to, and shall constitute, (x) an RFR Borrowing denominated in Dollars so long as the Daily Simple RFR for Dollar Borrowings is not the subject of a Benchmark Transition Event or (y) an ABR Loan if the Daily Simple RFR for Dollar Borrowings is the subject of a Benchmark Transition Event, on such day and (B) for Loans denominated in an Alternative Currency, (1) any Term Benchmark Loan shall, on the last day of the Interest Period applicable to such Loan bear interest at the Central Bank Rate (or in the case of the Yen, the Japanese Prime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8" w:name="page89"/>
    <w:bookmarkEnd w:id="8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determines (which determination shall be conclusive and binding absent manifest error) that the Central Bank Rate (or in the case of the Yen, the Japanese Prime Rate) for the applicable Alternative Currency cannot be determined, any outstanding affected Term Benchmark Loans denominated in any Alternative Currency shall, at the Borrower’s election prior to such day: (A) be prepaid by the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the Yen, the Japanese Prime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(or in the case of the Yen, the Japanese Prime Rate) for the applicable Alternative Currency cannot be determined, any outstanding affected RFR Loans denominated in any Alternative Currency, at the Borrower’s election, shall either (A) be converted into ABR Loans denominated in Dollars (in an amount equal to the Dollar Equivalent of such Alternative Currency) immediately or (B) be prepaid in full immediately.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any Issuing Bank (except any such reserve requirement reflected in the Adjusted EURIBOR Rate, Adjusted TIBOR Rate or Adjusted AUD Rate, as applicable);</w:t>
      </w:r>
    </w:p>
    <w:p>
      <w:pPr>
        <w:spacing w:after="0" w:line="71"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28"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on any Lender or any Issuing Bank or the applicable interbank market for the applicable Agreed Currency any other condition, cost or expense (other than Taxes) affecting this Agreement or Loans made by such Lender or any Letter of Credit or participation therein; or</w:t>
      </w:r>
    </w:p>
    <w:p>
      <w:pPr>
        <w:spacing w:after="0" w:line="31" w:lineRule="exact"/>
        <w:rPr>
          <w:rFonts w:ascii="Times New Roman" w:cs="Times New Roman" w:eastAsia="Times New Roman" w:hAnsi="Times New Roman"/>
          <w:sz w:val="17"/>
          <w:szCs w:val="17"/>
          <w:color w:val="auto"/>
        </w:rPr>
      </w:pPr>
    </w:p>
    <w:p>
      <w:pPr>
        <w:jc w:val="both"/>
        <w:ind w:left="440" w:firstLine="419"/>
        <w:spacing w:after="0" w:line="266" w:lineRule="auto"/>
        <w:tabs>
          <w:tab w:leader="none" w:pos="11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after consideration of such factors as the Administrative Agent, such Lender or such Issuing Bank, as applicable, then reasonably determines to be relevant).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89" w:name="page90"/>
    <w:bookmarkEnd w:id="89"/>
    <w:p>
      <w:pPr>
        <w:ind w:right="40" w:firstLine="436"/>
        <w:spacing w:after="0" w:line="253"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after consideration of such factors as the Administrative Agent, such Lender or such Issuing Bank, as applicable, then reasonably determines to be relevant).</w:t>
      </w:r>
    </w:p>
    <w:p>
      <w:pPr>
        <w:spacing w:after="0" w:line="189"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or any Issuing Bank setting forth, in reasonable detail, the basis and calculation of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or such Issuing Bank, as the case may be, the amount shown as due on any such certificate within thirty (30) days after receipt thereof.</w:t>
      </w:r>
    </w:p>
    <w:p>
      <w:pPr>
        <w:spacing w:after="0" w:line="179" w:lineRule="exact"/>
        <w:rPr>
          <w:rFonts w:ascii="Times New Roman" w:cs="Times New Roman" w:eastAsia="Times New Roman" w:hAnsi="Times New Roman"/>
          <w:sz w:val="18"/>
          <w:szCs w:val="18"/>
          <w:color w:val="auto"/>
        </w:rPr>
      </w:pPr>
    </w:p>
    <w:p>
      <w:pPr>
        <w:ind w:right="60" w:firstLine="436"/>
        <w:spacing w:after="0" w:line="274" w:lineRule="auto"/>
        <w:tabs>
          <w:tab w:leader="none" w:pos="6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Failure or delay on the part of any Lender or any Issuing Bank to demand compensation pursuant to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shall not constitute a waiver of such Lender’s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not be required to compensate a Lender or an Issuing Bank pursuant to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for any increased costs or reductions incurred more than 120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Loans that are not RFR Loans, in the event of (i) the payment of any principal of any Term Benchmark Loan other than on the Interest Payment Date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(v)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(other than loss of anticipated profits). Such loss, cost or expense to any Lender shall be deemed to include an amount determined by such Lender to be the excess, if any, of (i) the amount of interest which would have accrued on the principal amount of such Loan had such event not occurred, at the Term SOFR Rate that would have been applicable to such Loan (but not the Applicable Rate applicable thereto), for the period from the date of such event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0" w:name="page91"/>
    <w:bookmarkEnd w:id="9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and setting forth in reasonable detail the calculations used by such Lender to determine such amount or amounts, shall be delivered to the Borrower and shall be conclusive absent manifest error. The Borrower shall pay such Lender the amount shown as due on any such certificate within 30 days after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amounts under this Section incurred more than 120 days prior to the date that such Lender notifies the Borrower of such amount and of such Lender’s intention to claim compensation therefor.</w:t>
      </w:r>
    </w:p>
    <w:p>
      <w:pPr>
        <w:spacing w:after="0" w:line="188" w:lineRule="exact"/>
        <w:rPr>
          <w:sz w:val="20"/>
          <w:szCs w:val="20"/>
          <w:color w:val="auto"/>
        </w:rPr>
      </w:pPr>
    </w:p>
    <w:p>
      <w:pPr>
        <w:ind w:right="80" w:firstLine="436"/>
        <w:spacing w:after="0" w:line="253"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(iii) the assignment of any RFR Loan other than on the Interest Payment Date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(iv) the failure by the Borrower to make any payment of any Loan or drawing under any Letter of Credit (or interest due thereof) denominated in an Alternative Currency on its scheduled due date or any payments thereof in a different currency, then, in any such event, the Borrower shall compensate each Lender for the loss, cost and expense attributable to such event (other than loss of anticipated profits).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30 days after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amounts under this Section incurred more than 120 days prior to the date that such Lender notifies the Borrower of such amount and of such Lender’s intention to claim compensation therefor.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right="60" w:firstLine="436"/>
        <w:spacing w:after="0" w:line="312" w:lineRule="auto"/>
        <w:tabs>
          <w:tab w:leader="none" w:pos="69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Other Taxes by the Borrower</w:t>
      </w:r>
      <w:r>
        <w:rPr>
          <w:rFonts w:ascii="Times New Roman" w:cs="Times New Roman" w:eastAsia="Times New Roman" w:hAnsi="Times New Roman"/>
          <w:sz w:val="17"/>
          <w:szCs w:val="17"/>
          <w:color w:val="auto"/>
        </w:rPr>
        <w:t xml:space="preserve">. Without duplication of any obligation of </w:t>
      </w:r>
      <w:r>
        <w:rPr>
          <w:rFonts w:ascii="Times New Roman" w:cs="Times New Roman" w:eastAsia="Times New Roman" w:hAnsi="Times New Roman"/>
          <w:sz w:val="17"/>
          <w:szCs w:val="17"/>
          <w:u w:val="single" w:color="auto"/>
          <w:color w:val="auto"/>
        </w:rPr>
        <w:t>Section 2.17(a)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the Borrower shall timely pay to the relevant Governmental Authority in accordance with applicable law, or at the option of the Administrative Agent timely reimburse it for, Other Taxes.</w:t>
      </w:r>
    </w:p>
    <w:p>
      <w:pPr>
        <w:spacing w:after="0" w:line="139" w:lineRule="exact"/>
        <w:rPr>
          <w:rFonts w:ascii="Times New Roman" w:cs="Times New Roman" w:eastAsia="Times New Roman" w:hAnsi="Times New Roman"/>
          <w:sz w:val="17"/>
          <w:szCs w:val="17"/>
          <w:color w:val="auto"/>
        </w:rPr>
      </w:pPr>
    </w:p>
    <w:p>
      <w:pPr>
        <w:ind w:right="360" w:firstLine="436"/>
        <w:spacing w:after="0" w:line="261"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1" w:name="page92"/>
    <w:bookmarkEnd w:id="91"/>
    <w:p>
      <w:pPr>
        <w:ind w:left="4" w:right="200" w:firstLine="436"/>
        <w:spacing w:after="0" w:line="256"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the Loan Parties</w:t>
      </w:r>
      <w:r>
        <w:rPr>
          <w:rFonts w:ascii="Times New Roman" w:cs="Times New Roman" w:eastAsia="Times New Roman" w:hAnsi="Times New Roman"/>
          <w:sz w:val="18"/>
          <w:szCs w:val="18"/>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10 days after demand therefor, for</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and Other Recipients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firstLine="419"/>
        <w:spacing w:after="0" w:line="268" w:lineRule="auto"/>
        <w:tabs>
          <w:tab w:leader="none" w:pos="1082"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Recipient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Recipient,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Section 2.17(f)(ii)(A)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p>
    <w:p>
      <w:pPr>
        <w:ind w:left="444" w:right="3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(ii)(E)</w:t>
      </w:r>
      <w:r>
        <w:rPr>
          <w:rFonts w:ascii="Times New Roman" w:cs="Times New Roman" w:eastAsia="Times New Roman" w:hAnsi="Times New Roman"/>
          <w:sz w:val="18"/>
          <w:szCs w:val="18"/>
          <w:color w:val="auto"/>
        </w:rPr>
        <w:t xml:space="preserve">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spacing w:after="0" w:line="77" w:lineRule="exact"/>
        <w:rPr>
          <w:rFonts w:ascii="Times New Roman" w:cs="Times New Roman" w:eastAsia="Times New Roman" w:hAnsi="Times New Roman"/>
          <w:sz w:val="17"/>
          <w:szCs w:val="17"/>
          <w:color w:val="auto"/>
        </w:rPr>
      </w:pPr>
    </w:p>
    <w:p>
      <w:pPr>
        <w:ind w:left="1124" w:hanging="261"/>
        <w:spacing w:after="0"/>
        <w:tabs>
          <w:tab w:leader="none" w:pos="112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984" w:firstLine="408"/>
        <w:spacing w:after="0" w:line="261" w:lineRule="auto"/>
        <w:tabs>
          <w:tab w:leader="none" w:pos="1680" w:val="left"/>
        </w:tabs>
        <w:numPr>
          <w:ilvl w:val="3"/>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4"/>
          </w:cols>
          <w:pgMar w:left="436" w:top="270" w:right="479" w:bottom="1440" w:gutter="0" w:footer="0" w:header="0"/>
        </w:sectPr>
      </w:pPr>
    </w:p>
    <w:bookmarkStart w:id="92" w:name="page93"/>
    <w:bookmarkEnd w:id="92"/>
    <w:p>
      <w:pPr>
        <w:ind w:left="-20" w:right="260" w:firstLine="408"/>
        <w:spacing w:after="0" w:line="261" w:lineRule="auto"/>
        <w:tabs>
          <w:tab w:leader="none" w:pos="6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420" w:right="120" w:firstLine="391"/>
        <w:spacing w:after="0" w:line="256" w:lineRule="auto"/>
        <w:tabs>
          <w:tab w:leader="none" w:pos="1058"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IRS Form W- 8BEN-E,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79" w:lineRule="exact"/>
        <w:rPr>
          <w:rFonts w:ascii="Times New Roman" w:cs="Times New Roman" w:eastAsia="Times New Roman" w:hAnsi="Times New Roman"/>
          <w:sz w:val="18"/>
          <w:szCs w:val="18"/>
          <w:color w:val="auto"/>
        </w:rPr>
      </w:pPr>
    </w:p>
    <w:p>
      <w:pPr>
        <w:ind w:left="420" w:right="300" w:firstLine="391"/>
        <w:spacing w:after="0" w:line="282" w:lineRule="auto"/>
        <w:tabs>
          <w:tab w:leader="none" w:pos="1058"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W- 8ECI;</w:t>
      </w:r>
    </w:p>
    <w:p>
      <w:pPr>
        <w:spacing w:after="0" w:line="53" w:lineRule="exact"/>
        <w:rPr>
          <w:rFonts w:ascii="Times New Roman" w:cs="Times New Roman" w:eastAsia="Times New Roman" w:hAnsi="Times New Roman"/>
          <w:sz w:val="18"/>
          <w:szCs w:val="18"/>
          <w:color w:val="auto"/>
        </w:rPr>
      </w:pPr>
    </w:p>
    <w:p>
      <w:pPr>
        <w:ind w:left="420" w:right="60" w:firstLine="391"/>
        <w:spacing w:after="0" w:line="257" w:lineRule="auto"/>
        <w:tabs>
          <w:tab w:leader="none" w:pos="1058"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871(h)(3)</w:t>
      </w:r>
    </w:p>
    <w:p>
      <w:pPr>
        <w:spacing w:after="0" w:line="1" w:lineRule="exact"/>
        <w:rPr>
          <w:rFonts w:ascii="Times New Roman" w:cs="Times New Roman" w:eastAsia="Times New Roman" w:hAnsi="Times New Roman"/>
          <w:sz w:val="18"/>
          <w:szCs w:val="18"/>
          <w:color w:val="auto"/>
        </w:rPr>
      </w:pPr>
    </w:p>
    <w:p>
      <w:pPr>
        <w:ind w:left="420" w:right="220" w:firstLine="8"/>
        <w:spacing w:after="0" w:line="260" w:lineRule="auto"/>
        <w:tabs>
          <w:tab w:leader="none" w:pos="70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related to the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73" w:lineRule="exact"/>
        <w:rPr>
          <w:rFonts w:ascii="Times New Roman" w:cs="Times New Roman" w:eastAsia="Times New Roman" w:hAnsi="Times New Roman"/>
          <w:sz w:val="18"/>
          <w:szCs w:val="18"/>
          <w:color w:val="auto"/>
        </w:rPr>
      </w:pPr>
    </w:p>
    <w:p>
      <w:pPr>
        <w:ind w:left="420" w:firstLine="391"/>
        <w:spacing w:after="0" w:line="256" w:lineRule="auto"/>
        <w:tabs>
          <w:tab w:leader="none" w:pos="105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20" w:right="120" w:firstLine="408"/>
        <w:spacing w:after="0" w:line="256" w:lineRule="auto"/>
        <w:tabs>
          <w:tab w:leader="none" w:pos="6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960"/>
          </w:cols>
          <w:pgMar w:left="1440" w:top="270" w:right="499" w:bottom="1440" w:gutter="0" w:footer="0" w:header="0"/>
        </w:sectPr>
      </w:pPr>
    </w:p>
    <w:bookmarkStart w:id="93" w:name="page94"/>
    <w:bookmarkEnd w:id="93"/>
    <w:p>
      <w:pPr>
        <w:ind w:left="1420" w:right="80" w:firstLine="391"/>
        <w:spacing w:after="0" w:line="266" w:lineRule="auto"/>
        <w:tabs>
          <w:tab w:leader="none" w:pos="209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deliver to the Borrower on or prior to the date on which the Administrative Agent becomes the Administrative Agent under this Agreement, two (2) duly executed copies of IRS Form W-9 certifying that the Administrative Agent is exempt from U.S. federal backup withholding Tax; and</w:t>
      </w:r>
    </w:p>
    <w:p>
      <w:pPr>
        <w:spacing w:after="0" w:line="67" w:lineRule="exact"/>
        <w:rPr>
          <w:rFonts w:ascii="Times New Roman" w:cs="Times New Roman" w:eastAsia="Times New Roman" w:hAnsi="Times New Roman"/>
          <w:sz w:val="18"/>
          <w:szCs w:val="18"/>
          <w:color w:val="auto"/>
        </w:rPr>
      </w:pPr>
    </w:p>
    <w:p>
      <w:pPr>
        <w:ind w:left="1420" w:right="20" w:firstLine="391"/>
        <w:spacing w:after="0" w:line="254" w:lineRule="auto"/>
        <w:tabs>
          <w:tab w:leader="none" w:pos="20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Recipient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ind w:firstLine="436"/>
        <w:spacing w:after="0" w:line="253"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 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right="42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4" w:name="page95"/>
    <w:bookmarkEnd w:id="94"/>
    <w:p>
      <w:pPr>
        <w:ind w:left="660" w:hanging="224"/>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“Lender” includes any Issuing Bank and the term “applicable law” includes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Allocations of Proceeds;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Except with respect to principal of and interest on Loans denominated in an Alternative Currency, the Borrower shall make each payment or prepayment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2:00 p.m., New York City time on the date when due or the date fixed for any prepayment hereunder and (ii) all payments with respect to principal and interest on Loans denominated in an Alternative Currency shall be made in such Alternative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address separately provided to the Borrower, except payments to be made directly to an Issuing Bank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w:t>
      </w:r>
    </w:p>
    <w:p>
      <w:pPr>
        <w:spacing w:after="0" w:line="19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set forth in this Agreement or in any other Loan Document (including as expressly provided in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9.08</w:t>
      </w:r>
      <w:r>
        <w:rPr>
          <w:rFonts w:ascii="Times New Roman" w:cs="Times New Roman" w:eastAsia="Times New Roman" w:hAnsi="Times New Roman"/>
          <w:sz w:val="18"/>
          <w:szCs w:val="18"/>
          <w:color w:val="auto"/>
        </w:rPr>
        <w:t xml:space="preserve">), each Borrowing, each payment (other than prepayments) of principal of any Borrowing, each payment (other than prepayments) of interest on the Loans of a given Class and each conversion of any Borrowing to or continuation of any Borrowing as a Borrowing of any Type (and of the same Class) shall be applied to the amounts of such obligations owing to the Lenders of such Class, ratably in accordance with such Lenders’ respective Applicable Percentages. At any time that payments are not required to be applied in the manner required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93" w:lineRule="exact"/>
        <w:rPr>
          <w:sz w:val="20"/>
          <w:szCs w:val="20"/>
          <w:color w:val="auto"/>
        </w:rPr>
      </w:pPr>
    </w:p>
    <w:p>
      <w:pPr>
        <w:ind w:left="680" w:hanging="244"/>
        <w:spacing w:after="0"/>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except as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or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2" w:lineRule="exact"/>
        <w:rPr>
          <w:sz w:val="20"/>
          <w:szCs w:val="20"/>
          <w:color w:val="auto"/>
        </w:rPr>
      </w:pPr>
    </w:p>
    <w:p>
      <w:pPr>
        <w:ind w:right="120" w:firstLine="436"/>
        <w:spacing w:after="0" w:line="253"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prior to any date on which any payment is due to the Administrative Agent for the account of the relevant Lenders or the relevant Issuing Bank pursuant to the terms of this Agreement or any other Loan Document (including any date that is fixed for prepayment by notice from the Borrower to the Administrative Agent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notice from the Borrower that the Borrower will not make such payment or prepayment, the Administrative Agent may assume that the Borrower has made such payment on such date in accordance herewith and may, in reliance upon such assumption, distribute to the relevant Lenders or the Issuing Banks, as the case may, the amount due. In such event, if the Borrower has not in fact made such payment, then each of the relevant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applicable Overnight Rate and a rate determined by the Administrative Agent in accordance with banking industry rules on interbank compensation.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5"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 hereby agrees to pay all documented and reasonable out-of-pocket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and obligations under this Agreement and the other Loan Documents to an assignee that shall assume such obligations (which assignee may be another Lender, if a Lender accepts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6" w:name="page97"/>
    <w:bookmarkEnd w:id="9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Revolving Commitment is being assigned, the Issuing Banks), which consent shall not unreasonably be withheld, conditioned or delayed,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on one or more occasions on or after the Effective Date pursuant to an Incremental Amendment (i) add one or more new Classes of term facilities and/or increase the principal amount of the Term Loans of any existing Class by requesting new commitments to provide such Term Loans (any such new Class or increase, an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and any loan made pursuant to any Incremental Term Facility,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and/or (ii) increase the principal amount of the revolving commitments (an “</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and the loans thereunder, “Incremental Revolving Loans” and any Incremental Revolving Loans, together with any Incremental Term Loans,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an aggregate principal amount not to exceed the Incremental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may be in an amount that is less than $1,000,000 (or such lesser amount to which the Administrative Agent may reasonably agree),</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2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Borrower and any Lender may separately agree in writing, no Lender shall be obligated to provide any Incremental Commitment or Incremental Loan, and the determination to provide any Incremental Commitment or Incremental Loan shall be within the sole and absolute discretion of such Lender,</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53"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6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except as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clauses (v)</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below, any Incremental Term Facility shall be on terms and pursuant to documentation to be determined by the Borrower and the lenders providing such Incremental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permitted by </w:t>
      </w:r>
      <w:r>
        <w:rPr>
          <w:rFonts w:ascii="Times New Roman" w:cs="Times New Roman" w:eastAsia="Times New Roman" w:hAnsi="Times New Roman"/>
          <w:sz w:val="18"/>
          <w:szCs w:val="18"/>
          <w:u w:val="single" w:color="auto"/>
          <w:color w:val="auto"/>
        </w:rPr>
        <w:t>clauses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below, to the extent such terms are not consistent with the terms of the Revolving Loans, they shall be no more restrictive to the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20"/>
          </w:cols>
          <w:pgMar w:left="440" w:top="270" w:right="539" w:bottom="1440" w:gutter="0" w:footer="0" w:header="0"/>
        </w:sectPr>
      </w:pPr>
    </w:p>
    <w:bookmarkStart w:id="97" w:name="page98"/>
    <w:bookmarkEnd w:id="97"/>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in any material respect (taken as a whole and as reasonably determined by the Borrower and taking into consideration the term loan nature of such facility) than the terms of the Revolving Loans (excluding (A) covenants or other provisions applicable only to periods after the Maturity Date or (B) any more-restrictive terms or conditions, to the extent that such terms or conditions are also added for the benefit of the outstanding Loans and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herein, such more-restrictive terms or conditions may be added for the benefit of the outstanding Loans and Revolving Commitments pursuant to the applicable Incremental Amendment;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Administrative Agent shall (and the Lenders hereby irrevocably authorize the Administrative Agent to) include in such Incremental Amendment any amendments to any Loan Document as may be necessary in order to add such more-restrictive terms upon the Borrower’s written request); it being understood and agreed that in each such case, no consent of the Administrative Agent and/or any Lender shall be required in connection with adding such terms or conditions, and they may be added by the Borrower and the lenders providing the relevant Incremental Term Facility) and (y) the terms and provisions of any Incremental Revolving Commitments shall be identical to the existing Revolving Commitments (excluding any more restrictive covenant, to the extent that such covenant is also added for the benefit of the outstanding Loans and Revolving Commitments; it being understood and agreed that in each such case, no consent of the Administrative Agent and/or any Lender shall be required in connection with adding such covenant, and it may be added by the Borrower and the lenders providing the relevant Incremental Revolving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upfront and other similar fees with respect to any Incremental Revolving Commitments shall be determined by the Borrower and the applicable Lenders providing the Incremental Revolving Commitments and the applicable arrangement fees with respect to any Incremental Revolving Commitments shall be determined as permitted by </w:t>
      </w:r>
      <w:r>
        <w:rPr>
          <w:rFonts w:ascii="Times New Roman" w:cs="Times New Roman" w:eastAsia="Times New Roman" w:hAnsi="Times New Roman"/>
          <w:sz w:val="17"/>
          <w:szCs w:val="17"/>
          <w:u w:val="single" w:color="auto"/>
          <w:color w:val="auto"/>
        </w:rPr>
        <w:t>clause (ix)</w:t>
      </w:r>
      <w:r>
        <w:rPr>
          <w:rFonts w:ascii="Times New Roman" w:cs="Times New Roman" w:eastAsia="Times New Roman" w:hAnsi="Times New Roman"/>
          <w:sz w:val="17"/>
          <w:szCs w:val="17"/>
          <w:color w:val="auto"/>
        </w:rPr>
        <w:t xml:space="preserve"> below,</w:t>
      </w:r>
    </w:p>
    <w:p>
      <w:pPr>
        <w:spacing w:after="0" w:line="71" w:lineRule="exact"/>
        <w:rPr>
          <w:sz w:val="20"/>
          <w:szCs w:val="20"/>
          <w:color w:val="auto"/>
        </w:rPr>
      </w:pPr>
    </w:p>
    <w:p>
      <w:pPr>
        <w:ind w:left="4" w:right="100" w:firstLine="419"/>
        <w:spacing w:after="0" w:line="266"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below, the pricing, interest rates, rate floors, discounts, fees, optional prepayment or redemption premiums and amortization schedule applicable to any to any Incremental Term Facility shall be determined by the Borrower and the lender or lenders providing such Incremental Term Facility,</w:t>
      </w:r>
    </w:p>
    <w:p>
      <w:pPr>
        <w:spacing w:after="0" w:line="67"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7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customary bridge financings that, subject to customary conditions (as determined by the Borrower in good faith), provide for an automatic extension of the maturity date thereof to a date that satisfies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or require such bridge loans to be converted into or exchanged for permanent financing with a maturity date that would satisfy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the final maturity date with respect to any Class of Incremental Term Loans shall be no earlier than the Maturity Date,</w:t>
      </w:r>
    </w:p>
    <w:p>
      <w:pPr>
        <w:spacing w:after="0" w:line="71"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420" w:firstLine="419"/>
        <w:spacing w:after="0" w:line="282" w:lineRule="auto"/>
        <w:tabs>
          <w:tab w:leader="none" w:pos="8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amortization schedule applicable to any Incremental Term Facility shall be customary for similar term loans in light of then-prevailing market conditions at the time of incurrence thereof,</w:t>
      </w:r>
    </w:p>
    <w:p>
      <w:pPr>
        <w:spacing w:after="0" w:line="53"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7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any fees payable in connection with any Incremental Facility shall be determined by the Borrower and the arrangers and/or lenders providing such Incremental Facility,</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Incremental Facility shall be secured on a pari passu basis with the existing Loans and (B) no Incremental Facility may be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by any Person which is not a Loan Party or (2) secured by any assets other than the Collateral,</w:t>
      </w:r>
    </w:p>
    <w:p>
      <w:pPr>
        <w:spacing w:after="0" w:line="139"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04"/>
          </w:cols>
          <w:pgMar w:left="876" w:top="270" w:right="519" w:bottom="1440" w:gutter="0" w:footer="0" w:header="0"/>
        </w:sectPr>
      </w:pPr>
    </w:p>
    <w:bookmarkStart w:id="98" w:name="page99"/>
    <w:bookmarkEnd w:id="98"/>
    <w:p>
      <w:pPr>
        <w:ind w:left="440" w:right="20" w:firstLine="419"/>
        <w:spacing w:after="0" w:line="252" w:lineRule="auto"/>
        <w:tabs>
          <w:tab w:leader="none" w:pos="11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no Default or Event of Default shall exist immediately prior to or after giving effect to such Incremental Facility, (B) the Borrower shall be in compliance (on a pro forma basis and in the case of any Incremental Revolving Facility or Incremental Term Facility in the form of delayed draw term loans, assuming a full drawing of such Incremental Revolving Facility or Incremental Term Facility, as applicable) with the Financial Covenants as of the last day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and (C) subject to </w:t>
      </w:r>
      <w:r>
        <w:rPr>
          <w:rFonts w:ascii="Times New Roman" w:cs="Times New Roman" w:eastAsia="Times New Roman" w:hAnsi="Times New Roman"/>
          <w:sz w:val="18"/>
          <w:szCs w:val="18"/>
          <w:u w:val="single" w:color="auto"/>
          <w:color w:val="auto"/>
        </w:rPr>
        <w:t>Section 2.20(h)</w:t>
      </w:r>
      <w:r>
        <w:rPr>
          <w:rFonts w:ascii="Times New Roman" w:cs="Times New Roman" w:eastAsia="Times New Roman" w:hAnsi="Times New Roman"/>
          <w:sz w:val="18"/>
          <w:szCs w:val="18"/>
          <w:color w:val="auto"/>
        </w:rPr>
        <w:t xml:space="preserve">, the representations and warranties of the Loan Parties set forth in this Agreement and the other Loan Documents shall be true and correct in all material respects (or if qualified by materiality or Material Adverse Effect, in all respects) on and as of the date such Incremental Facility becomes effective, with the same effect as though such representations and warranties had been made on and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representation and warranty specifically refers to a given date or period, it shall be true and correct in all material respects as of such date or for such period (in each case of </w:t>
      </w:r>
      <w:r>
        <w:rPr>
          <w:rFonts w:ascii="Times New Roman" w:cs="Times New Roman" w:eastAsia="Times New Roman" w:hAnsi="Times New Roman"/>
          <w:sz w:val="18"/>
          <w:szCs w:val="18"/>
          <w:u w:val="single" w:color="auto"/>
          <w:color w:val="auto"/>
        </w:rPr>
        <w:t>clauses (A),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subject to</w:t>
      </w:r>
    </w:p>
    <w:p>
      <w:pPr>
        <w:spacing w:after="0" w:line="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in the case of any Incremental Term Facility),</w:t>
      </w:r>
    </w:p>
    <w:p>
      <w:pPr>
        <w:spacing w:after="0" w:line="98"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2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Facility may be used for working capital and/or purchase price adjustments and other general corporate purposes and any other use not prohibited by this Agreement, and</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2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the Borrowing of any Incremental Term Loans that will be of the same Class as any then-existing Class of Term Loans, and notwithstanding anything to the contrary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Lender providing such Incremental Term Loans will participate proportionately in each then-outstanding Borrowing of Term Loans of such Class; it being acknowledged that the application of this </w:t>
      </w:r>
      <w:r>
        <w:rPr>
          <w:rFonts w:ascii="Times New Roman" w:cs="Times New Roman" w:eastAsia="Times New Roman" w:hAnsi="Times New Roman"/>
          <w:sz w:val="18"/>
          <w:szCs w:val="18"/>
          <w:u w:val="single" w:color="auto"/>
          <w:color w:val="auto"/>
        </w:rPr>
        <w:t>clause (a)(xiv)</w:t>
      </w:r>
      <w:r>
        <w:rPr>
          <w:rFonts w:ascii="Times New Roman" w:cs="Times New Roman" w:eastAsia="Times New Roman" w:hAnsi="Times New Roman"/>
          <w:sz w:val="18"/>
          <w:szCs w:val="18"/>
          <w:color w:val="auto"/>
        </w:rPr>
        <w:t xml:space="preserve"> may result in new Incremental Term Loans having an Interest Period (the duration of which may be less than one month) that begins during an Interest Period then applicable to outstanding Term Benchmark Loans of the relevant Class and which ends on the last day of such Interest Period.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Incremental Commitments may be provided by any existing Lender, or by any other Person (any such other lender being called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in the case of any Incremental Revolving Facility, the Issuing Banks) shall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consent (such consent not to be unreasonably withheld or delayed) to the relevant Incremental Lender’s provision of Incremental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such consent would be required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for an assignment of Loans to such Incremental Lender,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same extent as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Incremental Commitments and related Obligations had been acquired by such Incremental Lender by way of assignment.</w:t>
      </w:r>
    </w:p>
    <w:p>
      <w:pPr>
        <w:spacing w:after="0" w:line="207" w:lineRule="exact"/>
        <w:rPr>
          <w:sz w:val="20"/>
          <w:szCs w:val="20"/>
          <w:color w:val="auto"/>
        </w:rPr>
      </w:pPr>
    </w:p>
    <w:p>
      <w:pPr>
        <w:ind w:right="40" w:firstLine="436"/>
        <w:spacing w:after="0" w:line="261"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providing a portion of any Incremental Commitments shall execute and deliver to the Administrative Agent and the Borrower all such documentation (including the relevant Incremental Amendment) as may be reasonably required by the Administrative Agent to evidence and effectuate such Incremental Commitment. On the effective date of such Incremental Commitments, each Incremental Lender shall become a Lender for all purposes in connection with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9" w:name="page100"/>
    <w:bookmarkEnd w:id="99"/>
    <w:p>
      <w:pPr>
        <w:ind w:firstLine="436"/>
        <w:spacing w:after="0" w:line="253"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on behalf of the Incremental Lenders, or the Incremental Lenders, as applicable, shall have received the amount of any fees payable to the Incremental Lenders in respect of such Incremental Facility or Incremental Loans, (iv) subject to </w:t>
      </w:r>
      <w:r>
        <w:rPr>
          <w:rFonts w:ascii="Times New Roman" w:cs="Times New Roman" w:eastAsia="Times New Roman" w:hAnsi="Times New Roman"/>
          <w:sz w:val="18"/>
          <w:szCs w:val="18"/>
          <w:u w:val="single" w:color="auto"/>
          <w:color w:val="auto"/>
        </w:rPr>
        <w:t>Section 2.20(h)</w:t>
      </w:r>
      <w:r>
        <w:rPr>
          <w:rFonts w:ascii="Times New Roman" w:cs="Times New Roman" w:eastAsia="Times New Roman" w:hAnsi="Times New Roman"/>
          <w:sz w:val="18"/>
          <w:szCs w:val="18"/>
          <w:color w:val="auto"/>
        </w:rPr>
        <w:t xml:space="preserve">, the Administrative Agent shall have received a Borrowing Request as if the relevant Incremental Loans were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 upon its request, the Administrative Agent shall be entitled to receive a certificate of the Borrower signed by a Financial Officer thereof (A) certifying and attaching a copy of the resolutions adopted by the governing body of the Borrower approving or consenting to such Incremental Facility or Incremental Loans and (B) to the extent applicable, certifying that the conditions set forth in </w:t>
      </w:r>
      <w:r>
        <w:rPr>
          <w:rFonts w:ascii="Times New Roman" w:cs="Times New Roman" w:eastAsia="Times New Roman" w:hAnsi="Times New Roman"/>
          <w:sz w:val="18"/>
          <w:szCs w:val="18"/>
          <w:u w:val="single" w:color="auto"/>
          <w:color w:val="auto"/>
        </w:rPr>
        <w:t>clause (a)(xi)</w:t>
      </w:r>
      <w:r>
        <w:rPr>
          <w:rFonts w:ascii="Times New Roman" w:cs="Times New Roman" w:eastAsia="Times New Roman" w:hAnsi="Times New Roman"/>
          <w:sz w:val="18"/>
          <w:szCs w:val="18"/>
          <w:color w:val="auto"/>
        </w:rPr>
        <w:t xml:space="preserve"> above have been satisfied.</w:t>
      </w:r>
    </w:p>
    <w:p>
      <w:pPr>
        <w:spacing w:after="0" w:line="18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implementation of any Incremental Revolving Facility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07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such that, after giving effect to each deemed assignment and assumption of participations, all of the Revolving Lenders’ (including each Incremental Revolving Facility Lender) participations hereunder in Letters of Credit shall be held on a pro rata basis on the basis of their respective Revolving Commitments (after giving effect to any increase in the Revolving Commitment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440" w:right="300" w:firstLine="419"/>
        <w:spacing w:after="0" w:line="255" w:lineRule="auto"/>
        <w:tabs>
          <w:tab w:leader="none" w:pos="112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Revolving Lenders shall assign Revolving Loans to certain other Revolving Lenders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participate in each outstanding Borrowing of Revolving Loans pro rata on the basis of their respective Revolving Commitments (after giving effect to any increase in the Revolving Commitment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0" w:firstLine="436"/>
        <w:spacing w:after="0" w:line="282" w:lineRule="auto"/>
        <w:tabs>
          <w:tab w:leader="none" w:pos="66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effectiveness of any Incremental Revolving Facility, the maximum amount of LC Exposure permitted hereunder shall increase by an amount, if any, agreed upon by the Borrower, the Administrative Agent and the Issuing Banks.</w:t>
      </w:r>
    </w:p>
    <w:p>
      <w:pPr>
        <w:spacing w:after="0" w:line="161" w:lineRule="exact"/>
        <w:rPr>
          <w:rFonts w:ascii="Times New Roman" w:cs="Times New Roman" w:eastAsia="Times New Roman" w:hAnsi="Times New Roman"/>
          <w:sz w:val="18"/>
          <w:szCs w:val="18"/>
          <w:color w:val="auto"/>
        </w:rPr>
      </w:pPr>
    </w:p>
    <w:p>
      <w:pPr>
        <w:ind w:right="200" w:firstLine="436"/>
        <w:spacing w:after="0" w:line="258"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any Incremental Amendment and/or any amendment to any other Loan Document as may be necessary in order to establish new Classes or sub-Classes in respect of Loans or commitments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including such technical amendments as may be necessary or appropriate in the reasonable opinion of the Administrative Agent and the Borrower in connection with the establishment of such new Classes or sub- Classes, in each case on terms consistent with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such other amendments as are described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0" w:name="page101"/>
    <w:bookmarkEnd w:id="100"/>
    <w:p>
      <w:pPr>
        <w:ind w:right="180" w:firstLine="436"/>
        <w:spacing w:after="0" w:line="266"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in any other provision of any Loan Document, if the proceeds of any Incremental Term Facility are intended to be applied to finance a Limited Conditionality Transaction and the lenders providing such Incremental Term Facility so agree, the availability thereof shall be subject to customary “SunGard” or “certain funds” conditionality.</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680" w:hanging="244"/>
        <w:spacing w:after="0"/>
        <w:tabs>
          <w:tab w:leader="none" w:pos="6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shall cease to accrue on the unfunded portion of the Revolving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or Issuing Bank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Borrower’s obligations corresponding to such Defaulting Lender’s LC Exposure are held by the Lenders pro rata in accordance with the Commitments without giving effect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1" w:name="page102"/>
    <w:bookmarkEnd w:id="101"/>
    <w:p>
      <w:pPr>
        <w:jc w:val="both"/>
        <w:ind w:firstLine="436"/>
        <w:spacing w:after="0" w:line="261"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Commitments, Loans and Revolving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amendment, waiver or other modification requiring the consent of all Lenders or all Lenders directly affected thereby shall not,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require the consent of such Defaulting Lender in accordance with the terms 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such Lender becomes a Defaulting Lender then: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07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Credit Exposure to exceed its Revolving Commitment;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within one (1) Business Day following notice by the Administrative Agent cash collateralize for the benefit of the relevant Issuing Bank only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cash collateralizes any portion of such Defaulting Lender’s LC Exposure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the Borrower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67" w:lineRule="exact"/>
        <w:rPr>
          <w:rFonts w:ascii="Times New Roman" w:cs="Times New Roman" w:eastAsia="Times New Roman" w:hAnsi="Times New Roman"/>
          <w:sz w:val="18"/>
          <w:szCs w:val="18"/>
          <w:color w:val="auto"/>
        </w:rPr>
      </w:pPr>
    </w:p>
    <w:p>
      <w:pPr>
        <w:ind w:left="440" w:right="200" w:firstLine="419"/>
        <w:spacing w:after="0" w:line="312" w:lineRule="auto"/>
        <w:tabs>
          <w:tab w:leader="none" w:pos="1168"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LC Exposure of the non-Defaulting Lenders is reallocated pursuant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then the fees payable to the Lenders pursuant to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shall be adjusted in accordance with such non-Defaulting Lenders’ Applicable Percentages; and</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Defaulting Lender’s LC Exposure is neither reallocated nor cash collateralized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440" w:right="120" w:hanging="4"/>
        <w:spacing w:after="0" w:line="255" w:lineRule="auto"/>
        <w:tabs>
          <w:tab w:leader="none" w:pos="705" w:val="left"/>
        </w:tabs>
        <w:numPr>
          <w:ilvl w:val="0"/>
          <w:numId w:val="1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then, without prejudice to any rights or remedies of any Issuing Bank or any other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relevant Issuing Bank until and to the extent that such LC Exposure is reallocated and/or cash collateralized; and</w:t>
      </w:r>
    </w:p>
    <w:p>
      <w:pPr>
        <w:spacing w:after="0" w:line="186" w:lineRule="exact"/>
        <w:rPr>
          <w:sz w:val="20"/>
          <w:szCs w:val="20"/>
          <w:color w:val="auto"/>
        </w:rPr>
      </w:pPr>
    </w:p>
    <w:p>
      <w:pPr>
        <w:ind w:firstLine="436"/>
        <w:spacing w:after="0" w:line="258" w:lineRule="auto"/>
        <w:tabs>
          <w:tab w:leader="none" w:pos="6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such Lender is a Defaulting Lender, the Issuing Banks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or LC Exposure related to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2.21(d)(i)</w:t>
      </w:r>
      <w:r>
        <w:rPr>
          <w:rFonts w:ascii="Times New Roman" w:cs="Times New Roman" w:eastAsia="Times New Roman" w:hAnsi="Times New Roman"/>
          <w:sz w:val="18"/>
          <w:szCs w:val="18"/>
          <w:color w:val="auto"/>
        </w:rPr>
        <w:t xml:space="preserve"> (and such Defaulting Lender shall not participate therein).</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such Issuing Bank shall not be required to issue, amend or increase any Letter of Credit, unless such Issuing Bank shall have entered into arrangements with the Borrower or such Lender, satisfactory to such Issuing Bank, to defease any risk to it in respect of such Lender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02" w:name="page103"/>
    <w:bookmarkEnd w:id="102"/>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the Administrative Agent, the Borrower and the Issuing Banks each agrees that a Defaulting Lender has adequately remedied all matters that caused such Lender to be a Defaulting Lender, then the LC Exposure of the Lenders shall be readjusted to reflect the inclusion of such Lender’s Revolving Commitment and on such date such Lender shall purchase at par such of the Revolving Loans of the other Lenders as the Administrative Agent shall determine may be necessary in order for such Lender to hold such Revolving Loans in accordance with its Applicable Percentage,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Refinancing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on one or more occasions after the Effective Date, by written notice to the Administrative Agent, request the establishment hereunder of (i) a new facility of revolving commitments (the “</w:t>
      </w:r>
      <w:r>
        <w:rPr>
          <w:rFonts w:ascii="Times New Roman" w:cs="Times New Roman" w:eastAsia="Times New Roman" w:hAnsi="Times New Roman"/>
          <w:sz w:val="18"/>
          <w:szCs w:val="18"/>
          <w:u w:val="single" w:color="auto"/>
          <w:color w:val="auto"/>
        </w:rPr>
        <w:t>Refinancing Revolving Commitments</w:t>
      </w:r>
      <w:r>
        <w:rPr>
          <w:rFonts w:ascii="Times New Roman" w:cs="Times New Roman" w:eastAsia="Times New Roman" w:hAnsi="Times New Roman"/>
          <w:sz w:val="18"/>
          <w:szCs w:val="18"/>
          <w:color w:val="auto"/>
        </w:rPr>
        <w:t>”) pursuant to which each Person providing such a commitment (a “</w:t>
      </w:r>
      <w:r>
        <w:rPr>
          <w:rFonts w:ascii="Times New Roman" w:cs="Times New Roman" w:eastAsia="Times New Roman" w:hAnsi="Times New Roman"/>
          <w:sz w:val="18"/>
          <w:szCs w:val="18"/>
          <w:u w:val="single" w:color="auto"/>
          <w:color w:val="auto"/>
        </w:rPr>
        <w:t>Refinancing Revolving Lender</w:t>
      </w:r>
      <w:r>
        <w:rPr>
          <w:rFonts w:ascii="Times New Roman" w:cs="Times New Roman" w:eastAsia="Times New Roman" w:hAnsi="Times New Roman"/>
          <w:sz w:val="18"/>
          <w:szCs w:val="18"/>
          <w:color w:val="auto"/>
        </w:rPr>
        <w:t>”) will make revolving loans to the Borrower (“</w:t>
      </w:r>
      <w:r>
        <w:rPr>
          <w:rFonts w:ascii="Times New Roman" w:cs="Times New Roman" w:eastAsia="Times New Roman" w:hAnsi="Times New Roman"/>
          <w:sz w:val="18"/>
          <w:szCs w:val="18"/>
          <w:u w:val="single" w:color="auto"/>
          <w:color w:val="auto"/>
        </w:rPr>
        <w:t>Refinancing Revolving Loans</w:t>
      </w:r>
      <w:r>
        <w:rPr>
          <w:rFonts w:ascii="Times New Roman" w:cs="Times New Roman" w:eastAsia="Times New Roman" w:hAnsi="Times New Roman"/>
          <w:sz w:val="18"/>
          <w:szCs w:val="18"/>
          <w:color w:val="auto"/>
        </w:rPr>
        <w:t>”) and acquire participations in Letters of Credit and (ii) one or more additional classes of term loan commitments (the “</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pursuant to which each Person providing such a commitment (a “</w:t>
      </w:r>
      <w:r>
        <w:rPr>
          <w:rFonts w:ascii="Times New Roman" w:cs="Times New Roman" w:eastAsia="Times New Roman" w:hAnsi="Times New Roman"/>
          <w:sz w:val="18"/>
          <w:szCs w:val="18"/>
          <w:u w:val="single" w:color="auto"/>
          <w:color w:val="auto"/>
        </w:rPr>
        <w:t>Refinancing Term Lender</w:t>
      </w:r>
      <w:r>
        <w:rPr>
          <w:rFonts w:ascii="Times New Roman" w:cs="Times New Roman" w:eastAsia="Times New Roman" w:hAnsi="Times New Roman"/>
          <w:sz w:val="18"/>
          <w:szCs w:val="18"/>
          <w:color w:val="auto"/>
        </w:rPr>
        <w:t>”) will make term loans to the Borrower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Refinancing Revolving Lender and each Refinancing Term Lender shall be an eligible assignee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if not already a Lender, shall otherwise be reasonably acceptable to the Administrative Agent and the Borrower (and, in respect of Refinancing Revolving Commitments, the Issuing Banks) (such approvals not to be unreasonably withheld or delayed).</w:t>
      </w:r>
    </w:p>
    <w:p>
      <w:pPr>
        <w:spacing w:after="0" w:line="191" w:lineRule="exact"/>
        <w:rPr>
          <w:rFonts w:ascii="Times New Roman" w:cs="Times New Roman" w:eastAsia="Times New Roman" w:hAnsi="Times New Roman"/>
          <w:sz w:val="18"/>
          <w:szCs w:val="18"/>
          <w:color w:val="auto"/>
        </w:rPr>
      </w:pPr>
    </w:p>
    <w:p>
      <w:pPr>
        <w:ind w:left="4" w:right="60" w:firstLine="436"/>
        <w:spacing w:after="0" w:line="252" w:lineRule="auto"/>
        <w:tabs>
          <w:tab w:leader="none" w:pos="69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Refinancing Commitments shall be effected pursuant to one or more Refinancing Facility Agreements executed and delivered by the Borrower, the Administrative Agent, each Refinancing Lender providing such Refinancing Commitments and, in the case of Refinancing Revolving Commitments,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Refinancing Commitments shall become effective unless (i) subject to Section 1.08, no Event of Default shall have occurred and be continuing on the date of effectiveness thereof, (ii)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on the date of effectiveness thereof, the representations and warranties of each Loan Party set forth in the Loan Documents shall be true and correct in all material respects (or in all respects, if qualified by materiality), in each case on and as of such date (or to the extent that any representation and warranty specifically refers to a given date or period, it shall be true and correct in all material respects (or in all respects, if qualified by materiality) as of such date or for such period), (iii) the Borrower shall have delivered to the Administrative Agent such legal opinions, board resolutions, secretary’s certificates, officer’s certificates, reaffirmation agreements and other documents as shall reasonably be requested by the Administrative Agent in connection with any such transaction,</w:t>
      </w:r>
    </w:p>
    <w:p>
      <w:pPr>
        <w:spacing w:after="0" w:line="6" w:lineRule="exact"/>
        <w:rPr>
          <w:rFonts w:ascii="Times New Roman" w:cs="Times New Roman" w:eastAsia="Times New Roman" w:hAnsi="Times New Roman"/>
          <w:sz w:val="18"/>
          <w:szCs w:val="18"/>
          <w:color w:val="auto"/>
        </w:rPr>
      </w:pPr>
    </w:p>
    <w:p>
      <w:pPr>
        <w:ind w:left="4" w:right="120" w:hanging="4"/>
        <w:spacing w:after="0" w:line="251" w:lineRule="auto"/>
        <w:tabs>
          <w:tab w:leader="none" w:pos="30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Term Loan Commitments, substantially concurrently with the effectiveness thereof, the Borrower shall obtain Refinancing Term Loans thereunder and shall repay or prepay then outstanding Term Loans of one or more Classes in an aggregate principal amount equal to the aggregate amount of such Refinancing Term Loan Commitments (less the aggregate amount of accrued and unpaid interest with respect to such outstanding Term Loans and any reasonable fees, premium and expenses relating to such refinancing) and (v) in the case of any Refinancing Revolving Commitments, (x) such Refinancing Revolving Commitments shall refinance and replace in full the outstanding Revolving Commitments (and the Revolving Loans in respect of the Revolving Commitments then replaced shall be paid in full, together with all interest thereon and all other amounts accrued for the benefit of the Revolving Lenders whose Revolving Commitments are being refinanced and replaced) and (y) the aggregate amount of such Refinancing Revolving Commitments shall not exceed the aggregate amount of the Revolving Commitments so refinanced and replaced.</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4"/>
          </w:cols>
          <w:pgMar w:left="436" w:top="270" w:right="499" w:bottom="1440" w:gutter="0" w:footer="0" w:header="0"/>
        </w:sectPr>
      </w:pPr>
    </w:p>
    <w:bookmarkStart w:id="103" w:name="page104"/>
    <w:bookmarkEnd w:id="103"/>
    <w:p>
      <w:pPr>
        <w:ind w:left="-20" w:right="320" w:firstLine="436"/>
        <w:spacing w:after="0" w:line="282" w:lineRule="auto"/>
        <w:tabs>
          <w:tab w:leader="none" w:pos="6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Refinancing Facility Agreement shall set forth, with respect to the Refinancing Commitments established thereby and the Refinancing Loans and other extensions of credit to be made thereunder, to the extent applicable, the following terms thereof:</w:t>
      </w:r>
    </w:p>
    <w:p>
      <w:pPr>
        <w:spacing w:after="0" w:line="53" w:lineRule="exact"/>
        <w:rPr>
          <w:rFonts w:ascii="Times New Roman" w:cs="Times New Roman" w:eastAsia="Times New Roman" w:hAnsi="Times New Roman"/>
          <w:sz w:val="18"/>
          <w:szCs w:val="18"/>
          <w:color w:val="auto"/>
        </w:rPr>
      </w:pPr>
    </w:p>
    <w:p>
      <w:pPr>
        <w:jc w:val="both"/>
        <w:ind w:left="420" w:right="200" w:firstLine="419"/>
        <w:spacing w:after="0" w:line="266" w:lineRule="auto"/>
        <w:tabs>
          <w:tab w:leader="none" w:pos="105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Refinancing Commitments and Refinancing Loans as a new “Class” of Loans for all purposes hereof (provided that with the consent of the Administrative Agent, any Refinancing Term Loan Commitments and Refinancing Term Loans may be treated as a single “Class” with any then-outstanding existing Commitments in respect of Term Loans or Term Loans),</w:t>
      </w:r>
    </w:p>
    <w:p>
      <w:pPr>
        <w:spacing w:after="0" w:line="6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stated termination and maturity dates applicable to the Refinancing Commitments or Refinancing Loans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rFonts w:ascii="Times New Roman" w:cs="Times New Roman" w:eastAsia="Times New Roman" w:hAnsi="Times New Roman"/>
          <w:sz w:val="18"/>
          <w:szCs w:val="18"/>
          <w:color w:val="auto"/>
        </w:rPr>
      </w:pPr>
    </w:p>
    <w:p>
      <w:pPr>
        <w:ind w:left="4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stated termination and maturity dates shall not be earlier than the maturity date applicable to the Revolving Commitments being so refinanced and replaced (in the case of Refinancing Revolving Commitments and Refinancing Revolving Loans) or the maturity date applicable to the Class of Term Loans so refinanced (in the case of Refinancing Term Loan Commitments and Refinancing Term Loans) and (B) any Refinancing Term Loans shall not have a weighted average life to maturity shorter than the remaining weighted average life to maturity of the Class of Term Loans so refinanced,</w:t>
      </w:r>
    </w:p>
    <w:p>
      <w:pPr>
        <w:spacing w:after="0" w:line="78" w:lineRule="exact"/>
        <w:rPr>
          <w:rFonts w:ascii="Times New Roman" w:cs="Times New Roman" w:eastAsia="Times New Roman" w:hAnsi="Times New Roman"/>
          <w:sz w:val="18"/>
          <w:szCs w:val="18"/>
          <w:color w:val="auto"/>
        </w:rPr>
      </w:pPr>
    </w:p>
    <w:p>
      <w:pPr>
        <w:ind w:left="420" w:right="540" w:firstLine="419"/>
        <w:spacing w:after="0" w:line="282" w:lineRule="auto"/>
        <w:tabs>
          <w:tab w:leader="none" w:pos="115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Term Loans, any amortization applicable thereto and the effect thereon of any prepayment of such Refinancing Term Loans,</w:t>
      </w:r>
    </w:p>
    <w:p>
      <w:pPr>
        <w:spacing w:after="0" w:line="53"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applicable to the Refinancing Commitments or Refinancing Loans of such Class,</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applicable to the Refinancing Commitments or Refinancing Loans of such Class,</w:t>
      </w:r>
    </w:p>
    <w:p>
      <w:pPr>
        <w:spacing w:after="0" w:line="117" w:lineRule="exact"/>
        <w:rPr>
          <w:rFonts w:ascii="Times New Roman" w:cs="Times New Roman" w:eastAsia="Times New Roman" w:hAnsi="Times New Roman"/>
          <w:sz w:val="18"/>
          <w:szCs w:val="18"/>
          <w:color w:val="auto"/>
        </w:rPr>
      </w:pPr>
    </w:p>
    <w:p>
      <w:pPr>
        <w:ind w:left="420" w:right="40" w:firstLine="419"/>
        <w:spacing w:after="0" w:line="282" w:lineRule="auto"/>
        <w:tabs>
          <w:tab w:leader="none" w:pos="114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Term Loans, any original issue discount applicable thereto, and in the case of any Refinancing Revolving Commitments, any upfront fees applicable thereto</w:t>
      </w:r>
    </w:p>
    <w:p>
      <w:pPr>
        <w:spacing w:after="0" w:line="53" w:lineRule="exact"/>
        <w:rPr>
          <w:rFonts w:ascii="Times New Roman" w:cs="Times New Roman" w:eastAsia="Times New Roman" w:hAnsi="Times New Roman"/>
          <w:sz w:val="18"/>
          <w:szCs w:val="18"/>
          <w:color w:val="auto"/>
        </w:rPr>
      </w:pPr>
    </w:p>
    <w:p>
      <w:pPr>
        <w:ind w:left="1200" w:hanging="361"/>
        <w:spacing w:after="0"/>
        <w:tabs>
          <w:tab w:leader="none" w:pos="12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or Interest Periods applicable to Refinancing Loans of such Class,</w:t>
      </w:r>
    </w:p>
    <w:p>
      <w:pPr>
        <w:spacing w:after="0" w:line="117" w:lineRule="exact"/>
        <w:rPr>
          <w:rFonts w:ascii="Times New Roman" w:cs="Times New Roman" w:eastAsia="Times New Roman" w:hAnsi="Times New Roman"/>
          <w:sz w:val="18"/>
          <w:szCs w:val="18"/>
          <w:color w:val="auto"/>
        </w:rPr>
      </w:pPr>
    </w:p>
    <w:p>
      <w:pPr>
        <w:ind w:left="420" w:right="100" w:firstLine="419"/>
        <w:spacing w:after="0" w:line="256" w:lineRule="auto"/>
        <w:tabs>
          <w:tab w:leader="none" w:pos="124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mandatory commitment reduction or prepayment requirements applicable to Refinancing Commitments or Refinancing Loans of such Class (which prepayment requirements, in the case of any Refinancing Term Loans, may provide that such Refinancing Term Loans may participate in mandatory prepayments on the same or a lesser basis as the Class of Term Loans so refinanced, but otherwise may not provide for prepayment requirements that are more favorable to the Lenders holding such Refinancing Term Loans than to the Lenders holding any other Facility of Term Loans unless agreed by the Required Lenders in respect of such other Class of Term Loans) and any restrictions on the voluntary or mandatory reductions or prepayments of Refinancing Commitments or Refinancing Loans of such Class;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60" w:top="270" w:right="459" w:bottom="1440" w:gutter="0" w:footer="0" w:header="0"/>
        </w:sectPr>
      </w:pPr>
    </w:p>
    <w:bookmarkStart w:id="104" w:name="page105"/>
    <w:bookmarkEnd w:id="104"/>
    <w:p>
      <w:pPr>
        <w:ind w:left="440" w:firstLine="419"/>
        <w:spacing w:after="0" w:line="254" w:lineRule="auto"/>
        <w:tabs>
          <w:tab w:leader="none" w:pos="11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other terms and conditions of the Refinancing Commitments and Refinancing Loans, which other terms and conditions shall not be more favorable to the lenders providing such Indebtedness than those set forth in the Loan Documents are with respect to the existing Lenders in respect of the Indebtedness being refinanced, as determined by the Borrower in its good faith judgment (other than covenants or other provisions applicable only to periods after the Maturity Date in effect at the time of incurrence of such Refinancing Commitments and Refinancing Loans or to the extent that such covenants or other provisions are also added for the benefit of the outstanding Commitments and Loans; it being understood and agreed that in each such case, no consent of the Administrative Agent and/or any Lender shall be required in connection with adding such covenant, or provision and it may be added by the Borrower and the lenders providing the relevant Refinancing Commitments and Refinancing Loans, as applicable).</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Borrower and any Lender may separately agree in writing, no Lender shall be obligated to provide any Refinancing Commitment or Refinancing Loan, and the determination to provide any Refinancing Commitment or Refinancing Loan shall be within the sole and absolute discretion of such Lender.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promptly notify each Lender as to the effectiveness of each Refinancing Facility Agreement. Each Refinancing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may, without the consent of any Lender other than the applicable Refinancing Lenders, effect such amendments to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 Documents as may be necessary or appropriate, in the opinion of the Administrative Agent, to give effect to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including any amendments necessary to treat the applicable Refinancing Commitments and Refinancing Loans as a new “Class” of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commitments hereunder.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Extension of Term Loans and Revolving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2"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Term Loans and Revolving Commitments</w:t>
      </w:r>
      <w:r>
        <w:rPr>
          <w:rFonts w:ascii="Times New Roman" w:cs="Times New Roman" w:eastAsia="Times New Roman" w:hAnsi="Times New Roman"/>
          <w:sz w:val="18"/>
          <w:szCs w:val="18"/>
          <w:color w:val="auto"/>
        </w:rPr>
        <w:t>. The Borrower may at any time and from time to time request that all or a portion of the (i) Term Loans of one or more Classes (including any Extended Term Loans) existing at the time of such request (each, an “</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and the Term Loans of such Class, the “</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and (ii) Revolving Commitments of one or more Classes (including any Extended Revolving Commitments) existing at the time of such request (each, an “</w:t>
      </w:r>
      <w:r>
        <w:rPr>
          <w:rFonts w:ascii="Times New Roman" w:cs="Times New Roman" w:eastAsia="Times New Roman" w:hAnsi="Times New Roman"/>
          <w:sz w:val="18"/>
          <w:szCs w:val="18"/>
          <w:u w:val="single" w:color="auto"/>
          <w:color w:val="auto"/>
        </w:rPr>
        <w:t>Existing Revolving Tranche</w:t>
      </w:r>
      <w:r>
        <w:rPr>
          <w:rFonts w:ascii="Times New Roman" w:cs="Times New Roman" w:eastAsia="Times New Roman" w:hAnsi="Times New Roman"/>
          <w:sz w:val="18"/>
          <w:szCs w:val="18"/>
          <w:color w:val="auto"/>
        </w:rPr>
        <w:t>” and together with the Existing Term Tranches, each an “</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and the Commitments of such Existing Tranche, the “</w:t>
      </w:r>
      <w:r>
        <w:rPr>
          <w:rFonts w:ascii="Times New Roman" w:cs="Times New Roman" w:eastAsia="Times New Roman" w:hAnsi="Times New Roman"/>
          <w:sz w:val="18"/>
          <w:szCs w:val="18"/>
          <w:u w:val="single" w:color="auto"/>
          <w:color w:val="auto"/>
        </w:rPr>
        <w:t>Existing Commitments</w:t>
      </w:r>
      <w:r>
        <w:rPr>
          <w:rFonts w:ascii="Times New Roman" w:cs="Times New Roman" w:eastAsia="Times New Roman" w:hAnsi="Times New Roman"/>
          <w:sz w:val="18"/>
          <w:szCs w:val="18"/>
          <w:color w:val="auto"/>
        </w:rPr>
        <w:t>” and together with the Existing Term Loans, the “</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in each case, be converted to extend the scheduled maturity date(s) of any payment of principal or scheduled termination date(s) of any commitments, as applicable, with respect to all or a portion of any principal or committed amount of any Existing Tranche (any such Existing Tranche which has been so extended, an “</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Extended Revolving Tranche</w:t>
      </w:r>
      <w:r>
        <w:rPr>
          <w:rFonts w:ascii="Times New Roman" w:cs="Times New Roman" w:eastAsia="Times New Roman" w:hAnsi="Times New Roman"/>
          <w:sz w:val="18"/>
          <w:szCs w:val="18"/>
          <w:color w:val="auto"/>
        </w:rPr>
        <w:t>”, as applicable, and each an “</w:t>
      </w:r>
      <w:r>
        <w:rPr>
          <w:rFonts w:ascii="Times New Roman" w:cs="Times New Roman" w:eastAsia="Times New Roman" w:hAnsi="Times New Roman"/>
          <w:sz w:val="18"/>
          <w:szCs w:val="18"/>
          <w:u w:val="single" w:color="auto"/>
          <w:color w:val="auto"/>
        </w:rPr>
        <w:t>Extended Tranche</w:t>
      </w:r>
      <w:r>
        <w:rPr>
          <w:rFonts w:ascii="Times New Roman" w:cs="Times New Roman" w:eastAsia="Times New Roman" w:hAnsi="Times New Roman"/>
          <w:sz w:val="18"/>
          <w:szCs w:val="18"/>
          <w:color w:val="auto"/>
        </w:rPr>
        <w:t>”, and the Term Loans or Revolving Commitments, as applicable, of such Extended Tranches, the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Extended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as applicable, and each an “</w:t>
      </w:r>
      <w:r>
        <w:rPr>
          <w:rFonts w:ascii="Times New Roman" w:cs="Times New Roman" w:eastAsia="Times New Roman" w:hAnsi="Times New Roman"/>
          <w:sz w:val="18"/>
          <w:szCs w:val="18"/>
          <w:u w:val="single" w:color="auto"/>
          <w:color w:val="auto"/>
        </w:rPr>
        <w:t>Extended Commitment</w:t>
      </w:r>
      <w:r>
        <w:rPr>
          <w:rFonts w:ascii="Times New Roman" w:cs="Times New Roman" w:eastAsia="Times New Roman" w:hAnsi="Times New Roman"/>
          <w:sz w:val="18"/>
          <w:szCs w:val="18"/>
          <w:color w:val="auto"/>
        </w:rPr>
        <w:t>”, and any Revolving Loans made pursuant to Extended Revolving Commitments, “</w:t>
      </w:r>
      <w:r>
        <w:rPr>
          <w:rFonts w:ascii="Times New Roman" w:cs="Times New Roman" w:eastAsia="Times New Roman" w:hAnsi="Times New Roman"/>
          <w:sz w:val="18"/>
          <w:szCs w:val="18"/>
          <w:u w:val="single" w:color="auto"/>
          <w:color w:val="auto"/>
        </w:rPr>
        <w:t>Extended Revolving Loans</w:t>
      </w:r>
      <w:r>
        <w:rPr>
          <w:rFonts w:ascii="Times New Roman" w:cs="Times New Roman" w:eastAsia="Times New Roman" w:hAnsi="Times New Roman"/>
          <w:sz w:val="18"/>
          <w:szCs w:val="18"/>
          <w:color w:val="auto"/>
        </w:rPr>
        <w:t>”, and together with Extended Term Loans, the “</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In order to establish any Extended Commitments or Extended Loans, the Borrower shall provide a notice to the Administrative Agent (who shall provide a copy of such notice to each of the Lenders under the applicable Existing Tranche) (each, a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setting forth the proposed terms of the Extended Commitments and/or Extended Loans to be established, which shall (x) be identical as offered to each Lender under such applicable Existing Tranche (including as to the proposed interest rates and fees payable) and offered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under such Existing Tranche and (y) be identical to the Existing Commitments and Existing Loans under the Existing Tranche from which such Extended Loans are to be amended, except that: (i) all or any of the scheduled amortization payments of principal of the Extended Loans may be delayed to later dates than the scheduled amortization payments of principal of the Existing Loans of such Existing Tranche, to the extent provided in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5" w:name="page106"/>
    <w:bookmarkEnd w:id="10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Extension Amendment; (ii) the effective yield with respect to the Extended Commitments and Extended Loans (whether in the form of interest rate margin, upfront fees, original issue discount or otherwise) may be different than the effective yield for the Commitments and Loans of such Existing Tranche, in each case, to the extent provided in the applicable Extension Amendment; and (iii) the Extension Amendment may provide for other covenants or other provisions applicable only to periods after the latest maturity date in effect at the time of the Extension Amendment or to the extent that such covenants or other provisions are also added for the benefit of the outstanding Commitments and Loans; it being understood and agreed that in each such case, no consent of the Administrative Agent and/or any Lender shall be required in connection with adding such covenant, or provision and it may be added by the Borrower and the lenders providing the Extended Commitments and/or Extended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Default shall have occurred and be continuing at the time an Extension Request is delivered to Lenders, (B) in no event shall the final maturity date of any Extended Commitments or Extended Loans of a given Extension Series be earlier than the maturity date of the Existing Tranche from which such Extended Commitments or Extended Loans are to be extended, (C) the weighted average life to maturity of any Extended Term Loans of a given Extension Series shall be no shorter (other than by virtue of amortization or prepayment of such Indebtedness prior to the time of incurrence of such Extended Term Loans) than the remaining weighted average life to maturity of the Existing Tranche from which such Extended Term Loans are to be extended, (D) all documentation in respect of such Extension Amendment shall be consistent with the foregoing, (E) all borrowings of Revolving Loans shall continue to be made on a ratable basis among all Revolving Lenders, based on the relative amounts of their Revolving Commitments (i.e., both extended and non-extended), until the repayment of the Loans attributable to the non-extended Revolving Commitments (and the termination of the non-extended Revolving Commitments) on the relevant maturity date, (F) all prepayments of Loans and all reductions of Commitments shall continue to be made on a ratable basis among all Lenders, based on the relative amounts of their Commitments (i.e., both extended and non-extended), until the repayment of the Loans attributable to the non-extended Commitments (and the termination of the non-extended Commitments) on the relevant maturity date (unless the applicable Extension Amendment provides for lesser treatment of the Loans and/or Commitments of the Extending Lenders, (G) the allocation of the participation exposure with respect to any then-existing or subsequently issued or made Letter of Credit as between any Revolving Commitments of such Extension Series and the remaining Revolving Commitments shall be made on a ratable basis in accordance with the relative amounts thereof until the maturity date relating to the non-extended Revolving Commitments has occurred (it being understood, however, that no reallocation of such exposure to extended Revolving Commitments shall occur on such termination date if (1) a Specified Event of Default exists at the time of such reallocation or (2) such reallocation would cause the Dollar Equivalent of the Revolving Credit Exposure of any Lender to exceed its Revolving Commitment), (H) the Revolving Credit Availability Period and the Maturity Date, as such term is used with reference to Letters of Credit, may not be extended without the prior written consent of each Issuing Bank, and (v) at no time shall there be more than three Classes of Revolving Commitments hereunder, unless otherwise agreed by the Administrative Agent. Commencing with the maturity date of any Class of Revolving Commitments, the sublimit for Letters of Credit under such Class of Revolving Commitments that has not so then matured shall be as agreed between the Borrower, the Revolving Lenders in respect of such extended Revolving Commitments and the Issuing Banks in the relevant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maturity date of any series of Revolving Commitments, and after giving effect to any new sublimit for Letters of Credit under any series of Revolving Commitments that has not so then matured, the outstanding LC Exposure exceeds such sublimit, the Borrower shall provide cash collateral in an aggregate amount equal to 103% of such excess.</w:t>
      </w:r>
    </w:p>
    <w:p>
      <w:pPr>
        <w:spacing w:after="0" w:line="20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(b)Any Extended Commitments or Extended Loans amended pursuant to any Extension Request shall be designated a series (each, a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of Extended Commitments or Extended Loans, as applicable,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Extended Commitments or Extended Loans amended from an Existing Tranche may, to the extent provided in the applicable Extension Amendment, be designated as an increase in any previously established Extension Series with respect to such Existing Tranche.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6" w:name="page107"/>
    <w:bookmarkEnd w:id="106"/>
    <w:p>
      <w:pPr>
        <w:ind w:left="4" w:right="20" w:firstLine="436"/>
        <w:spacing w:after="0" w:line="252" w:lineRule="auto"/>
        <w:tabs>
          <w:tab w:leader="none" w:pos="68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 Request</w:t>
      </w:r>
      <w:r>
        <w:rPr>
          <w:rFonts w:ascii="Times New Roman" w:cs="Times New Roman" w:eastAsia="Times New Roman" w:hAnsi="Times New Roman"/>
          <w:sz w:val="18"/>
          <w:szCs w:val="18"/>
          <w:color w:val="auto"/>
        </w:rPr>
        <w:t xml:space="preserve">. The Borrower shall provide the applicable Extension Request at least five (5) Business Days (or such shorter period of time as the Administrative Agent may agree in its reasonable discretion) prior to the date on which Lenders under the Existing Tranche,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No Lender shall have any obligation to agree to have any of its Existing Commitments or Existing Loans of any Existing Tranche amended into Extended Commitments or Extended Loans, pursuant to any Extension Request. Any Lender holding an Existing Commitment or Existing Loan under an Existing Tranche (each,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wishing to have all or a portion of its Existing Commitments or Existing Loans under the Existing Tranche subject to such Extension Request amended into Extended Commitments or Extended Loans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Existing Commitments or Existing Loans under the Existing Tranche which it has elected to request be amended into Extended Commitments or Extended Loans (subject to any minimum denomination requirements imposed by the Administrative Agent). In the event that the aggregate principal amount of Existing Commitments or Existing Loans under the Existing Tranche in respect of which applicable Extending Lenders shall have accepted the relevant Extension Request exceeds the amount of Extended Commitments or Extended Loans requested to be extended pursuant to the Extension Request, Existing Commitments or Existing Loans subject to Extension Elections shall be amended to Extended Commitments or Extended Loans,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(subject to rounding by the Administrative Agent, which shall be conclusive) based on the aggregate principal amount of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or Existing Loans, included in each such Extension Election.</w:t>
      </w:r>
    </w:p>
    <w:p>
      <w:pPr>
        <w:spacing w:after="0" w:line="19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9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Extended Commitments and Extended Loans shall be established pursuant to an amendment (each, a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to this Agreement among the Borrower, the Administrative Agent and each Extending Lender, providing an Extended Commitment and/or Extended Loan thereunder, which shall be consistent with the provisions set forth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 xml:space="preserve"> above, (but which shall not require the consent of any other Lender). The effectiveness of any Extension Amendment shall be subject to the satisfaction on the date thereof of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to the extent reasonably requested by the Administrative Agent, receipt by the Administrative Agent of (i) legal opinions, board resolutions and officers’ certificates consistent with those delivered on the Effective Date other than changes to such legal opinion resulting from a change in law, change in fact or change to counsel’s form of opinion reasonably satisfactory to the Administrative Agent and</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reaffirmation agreements and/or such amendments to the Collateral Documents as may be reasonably requested by the Administrative Agent in order to ensure that the Extended Commitments or Extended Loans, are provided with the benefit of the applicable Loan Documents (provided any such reaffirmations and/or amendments may be provided within a time period after such effectiveness if agreed by the Administrative Agent in its reasonable discretion).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Commitments or Extended Loans incurred pursuant thereto, (ii) modify the scheduled repayments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with respect to any Existing Tranche subject to an Extension Election to reflect a reduction in the principal amount of the Existing Term Loans thereunder in an amount equal to the aggregate principal amount of the Extended Term Loans amended pursuant to the applicable extension (with such amount to be applied ratably to reduce scheduled repayments of such Existing Term Loans required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(iii) modify the prepayments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to reflect the existence of the Extended Loans and the application of prepayments (including prepayments occurring prior to the effective date of any Extension Amendment) with respect thereto, and (iv)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and the Lenders hereby expressly authorize the Administrative Agent to enter into any such Extension Amendment.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107" w:name="page108"/>
    <w:bookmarkEnd w:id="107"/>
    <w:p>
      <w:pPr>
        <w:ind w:left="4" w:right="60" w:firstLine="436"/>
        <w:spacing w:after="0" w:line="261" w:lineRule="auto"/>
        <w:tabs>
          <w:tab w:leader="none" w:pos="6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conversion of Loans pursuant to any extension in accordance with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constitute a voluntary or mandatory payment or prepayment for purposes of this Agreement. The Administrative Agent and the Lenders hereby acknowledge that in respect of payments on non-extended Loans on the scheduled maturity date in respect thereof, the pro rata payment requirements contained elsewhere in this Agreement are not intended to apply to the transactions effected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6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Dollar Equivalent of the Total Revolving Credit Exposure exceeds the aggregate Revolving Commitments as a result of the occurrence of the maturity date with respect to any Class of Revolving Commitments when an extended Class of Revolving Commitments remains outstanding, the Borrower shall prepay Revolving Loans (or if no such Loans are outstanding (after giving effect to any prepayment thereof), provide cash collateral in an amount equal to 103% of the excess amount) as may be required to eliminate such excess on such maturity date. The failure of the Borrower to comply with the prepayment and cash collateralization requirements of this </w:t>
      </w:r>
      <w:r>
        <w:rPr>
          <w:rFonts w:ascii="Times New Roman" w:cs="Times New Roman" w:eastAsia="Times New Roman" w:hAnsi="Times New Roman"/>
          <w:sz w:val="18"/>
          <w:szCs w:val="18"/>
          <w:u w:val="single" w:color="auto"/>
          <w:color w:val="auto"/>
        </w:rPr>
        <w:t>Section 2.23(f)</w:t>
      </w:r>
      <w:r>
        <w:rPr>
          <w:rFonts w:ascii="Times New Roman" w:cs="Times New Roman" w:eastAsia="Times New Roman" w:hAnsi="Times New Roman"/>
          <w:sz w:val="18"/>
          <w:szCs w:val="18"/>
          <w:color w:val="auto"/>
        </w:rPr>
        <w:t xml:space="preserve"> shall result in the extended Class of Revolving Commitments immediately terminating and the Loans in respect thereof (with accrued interest thereon) and all other amounts owing under this Agreement and the other Loan Documents in respect thereof (including 103% cash collateral in respect of any outstanding LC Exposure) immediately becoming due and payable.</w:t>
      </w:r>
    </w:p>
    <w:p>
      <w:pPr>
        <w:spacing w:after="0" w:line="192"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2.24 </w:t>
      </w:r>
      <w:r>
        <w:rPr>
          <w:rFonts w:ascii="Times New Roman" w:cs="Times New Roman" w:eastAsia="Times New Roman" w:hAnsi="Times New Roman"/>
          <w:sz w:val="17"/>
          <w:szCs w:val="17"/>
          <w:u w:val="single" w:color="auto"/>
          <w:color w:val="auto"/>
        </w:rPr>
        <w:t>MIRE Event</w:t>
      </w:r>
      <w:r>
        <w:rPr>
          <w:rFonts w:ascii="Times New Roman" w:cs="Times New Roman" w:eastAsia="Times New Roman" w:hAnsi="Times New Roman"/>
          <w:sz w:val="17"/>
          <w:szCs w:val="17"/>
          <w:color w:val="auto"/>
        </w:rPr>
        <w:t>. No MIRE Event may be closed until the date that is (A) if there is no Mortgaged Property located in a “special flood hazard area”, ten (10) Business Days or (B) if there is any such Mortgaged Property located in a “special flood hazard area”, thirty (30) days (in each case, the “MIRE Notice Period”), after the Administrative Agent has delivered to the Lenders the following documents in respect of such real property:</w:t>
      </w:r>
    </w:p>
    <w:p>
      <w:pPr>
        <w:spacing w:after="0" w:line="2" w:lineRule="exact"/>
        <w:rPr>
          <w:sz w:val="20"/>
          <w:szCs w:val="20"/>
          <w:color w:val="auto"/>
        </w:rPr>
      </w:pPr>
    </w:p>
    <w:p>
      <w:pPr>
        <w:ind w:left="4" w:right="140" w:hanging="4"/>
        <w:spacing w:after="0" w:line="252"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flood hazard determination from a third party vendor; (y) if such real property is located in a “special flood hazard area”, (I) a notification to the applicable Loan Parties of that fact and (if applicable) notification to the applicable Loan Parties that flood insurance coverage is not available and (II) evidence of the receipt by the applicable Loan Parties of such notice; and (z) if required by Flood Insurance Laws, evidence of required flood insurance; provided that any such MIRE Event may be closed prior to the MIRE Notice Period if the Administrative Agent shall have received confirmation from each applicable Lender that such Lender has completed any necessary flood insurance due diligence to its reasonable satisfaction.</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36"/>
        <w:spacing w:after="0" w:line="256" w:lineRule="auto"/>
        <w:tabs>
          <w:tab w:leader="none" w:pos="6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its Material Subsidiaries (i) is duly organized, validly existing and in good standing (to the extent the concept is applicable in such jurisdiction) under the laws of the jurisdiction of its organization, has all requisite organizational power and authority to carry on its business as now conducted and execute, deliver and perform its obligations under the Loan Documents to which it is a party and (ii) except where the failure to do so, individually or in the aggregate, would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08" w:name="page109"/>
    <w:bookmarkEnd w:id="108"/>
    <w:p>
      <w:pPr>
        <w:jc w:val="both"/>
        <w:ind w:left="4" w:right="100" w:firstLine="436"/>
        <w:spacing w:after="0" w:line="272" w:lineRule="auto"/>
        <w:tabs>
          <w:tab w:leader="none" w:pos="699"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3.01</w:t>
      </w:r>
      <w:r>
        <w:rPr>
          <w:rFonts w:ascii="Times New Roman" w:cs="Times New Roman" w:eastAsia="Times New Roman" w:hAnsi="Times New Roman"/>
          <w:sz w:val="17"/>
          <w:szCs w:val="17"/>
          <w:color w:val="auto"/>
        </w:rPr>
        <w:t xml:space="preserve"> hereto identifies each Subsidiary as of the Effective Date, noting whether such Subsidiary is a Material Domestic Subsidiary or Material Foreign Subsidiary, the jurisdiction of its incorporation or organization, as the case may be, the percentage of issued and outstanding shares of each class of its capital stock or other equity interests owned by the Borrower and its Subsidiaries and, if such percentage is not 100% (excluding</w:t>
      </w:r>
    </w:p>
    <w:p>
      <w:pPr>
        <w:spacing w:after="0" w:line="1" w:lineRule="exact"/>
        <w:rPr>
          <w:rFonts w:ascii="Times New Roman" w:cs="Times New Roman" w:eastAsia="Times New Roman" w:hAnsi="Times New Roman"/>
          <w:sz w:val="17"/>
          <w:szCs w:val="17"/>
          <w:color w:val="auto"/>
        </w:rPr>
      </w:pPr>
    </w:p>
    <w:p>
      <w:pPr>
        <w:ind w:left="4" w:right="80" w:hanging="4"/>
        <w:spacing w:after="0" w:line="260" w:lineRule="auto"/>
        <w:tabs>
          <w:tab w:leader="none" w:pos="21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qualifying shares and (ii) shares issued to foreign nationals to the extent required by applicable law), a description of each class issued and outstanding.</w:t>
      </w:r>
    </w:p>
    <w:p>
      <w:pPr>
        <w:spacing w:after="0" w:line="181"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shares of capital stock and other equity interests of each Subsidiary Guarantor and each other Subsidiary pledged to the Administrative Agent are validly issued and outstanding and, to the extent applicable, fully paid and, if applicable, nonassessable and, as of the Effective Date, all such shares and other equity interests indicated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as owned by the Borrower or its Subsidiaries are owned, beneficially and of record, by the Borrower or such Subsidiary free and clear of all Liens, other than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Authorization; Enforceability</w:t>
      </w:r>
      <w:r>
        <w:rPr>
          <w:rFonts w:ascii="Times New Roman" w:cs="Times New Roman" w:eastAsia="Times New Roman" w:hAnsi="Times New Roman"/>
          <w:sz w:val="17"/>
          <w:szCs w:val="17"/>
          <w:color w:val="auto"/>
        </w:rPr>
        <w:t>. The Transactions and Loan Documents to be entered into by each Loan Party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(i) applicable bankruptcy, insolvency, reorganization, moratorium or other laws affecting creditors’ rights generally, (ii) general principles of equity, regardless of whether considered in a proceeding in equity or at law and (iii) requirements of reasonableness, good faith and fair dealing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Legal Reservations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(a) The Transactions do not require any consent or approval of, registration or filing with, or any other action by, any Governmental Authority, except such as have been, or will be by the time required, obtained or made and are, or will be by the time required, in full force and effect and except for any filings, registrations, endorsements, notarizations, stampings and/or notifications necessary to perfect Liens created pursuant to the Loan Documents, (b) the Transactions will not violate in any material respect (i) the charter, by-laws, articles of association or other organizational documents of the Borrower or any of its Subsidiaries or (ii) any applicable material law or regulation or any material order of any Governmental Authority binding upon the Borrower or any of its Subsidiaries or its assets, (c) the Transactions will not violate or result in a default under any indenture, material agreement or other material instrument binding upon the Borrower or any of its Subsidiaries or its assets, or give rise to a right thereunder to require any payment to be made by the Borrower or any Subsidiary, except, in the case of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for any such violations, defaults or rights that would not reasonably be expected to result in a Material Adverse Effect, and (d) the Transactions will not result in the creation or imposition of any Lien on any asset of the Borrower or any of its Subsidiaries, other than Liens created under the Loan Documents.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36"/>
        <w:spacing w:after="0" w:line="261" w:lineRule="auto"/>
        <w:tabs>
          <w:tab w:leader="none" w:pos="68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its consolidated balance sheet and statements of income, stockholders equity and cash flows, as of and for the fiscal year ended December 31, 2025 reported on by Ernst &amp; Young LLP, independent public accountants. Such financial statements present fairly, in all material respects, the financial position and results of operations and cash flows of the Borrower and its consolidated Subsidiaries as of such dates and for such periods in accordance with GAAP.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09" w:name="page110"/>
    <w:bookmarkEnd w:id="109"/>
    <w:p>
      <w:pPr>
        <w:ind w:right="60" w:firstLine="436"/>
        <w:spacing w:after="0" w:line="282"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Borrower and its Subsidiaries, since December 31, 2025, there has been no material adverse change in the business, assets, operations or financial condition of the Borrower and such Subsidiaries, taken as a whole.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36"/>
        <w:spacing w:after="0" w:line="266"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each of the Borrower and its Subsidiaries has good title to, or (to the knowledge of the Borrower or any Subsidiary) valid leasehold interests in, all its real and personal property (other than Intellectual Property, which is subject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material to its business, except as would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reasonably be expected to have a Material Adverse Effect, each of the Borrower and its Subsidiaries owns, or is licensed to use (subject to the knowledge qualified infringement representation in this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all Intellectual Property material to its business. Except as could not reasonably be expected to have a Material Adverse Effect, the use of material Intellectual Property by the Borrower and its Subsidiaries, to any Loan Party’s knowledge, does not infringe upon the rights of any valid, enforceable patent or any other intellectual property rights of any other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Environmental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1"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xml:space="preserve"> hereof, there are no actions, suits, proceedings or claims by or before any arbitrator or Governmental Authority pending against or, to the knowledge of the Borrower, threatened in writing against or affecting the Borrower or any of its Subsidiaries (i) that would reasonably be expected, individually or in the aggregate, to result in a Material Adverse Effect or (ii) that, as of the Effective Date, involve this Agreement or the Transactions.</w:t>
      </w:r>
    </w:p>
    <w:p>
      <w:pPr>
        <w:spacing w:after="0" w:line="179"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matters that, individually or in the aggregate, would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is subject to any Environmental Liability or (iii) has received written notice of any claim with respect to any Environmental Liability.</w:t>
      </w:r>
    </w:p>
    <w:p>
      <w:pPr>
        <w:spacing w:after="0" w:line="179"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of the Effective Date, there are no strikes, lockouts or material labor slowdowns against the Borrower or any of its Subsidiaries pending or, to their knowledge, threatened and (ii) except as would not reasonably be expected to have a Material Adverse Effect, (A) there are no strikes, lockouts or material slowdowns against the Borrower or any of its Subsidiaries pending or, to their knowledge, threatened, (B) the hours worked by and payments made to employees of the Borrower and its Subsidiaries have not been in material violation of the Fair Labor Standards Act or any other applicable Federal, state, local or foreign law relating to such matters and (C) material payments due from the Borrower or any of its Subsidiaries, or for which any claim may be made against the Borrower or any of its Subsidiaries, on account of wages and employee health and welfare insurance and other benefits, have been paid or accrued as liabilities on the books of the Borrower or such Subsidiary. As of the Effective Date, the consummation of the Transactions will not give rise to any right of termination or right of renegotiation on the part of any union under any collective bargaining agreement under which the Borrower or any of its Subsidiaries is bound.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36"/>
        <w:spacing w:after="0" w:line="266"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of the Borrower and its Subsidiaries is in compliance with all laws, regulations and orders of any Governmental Authority applicable to it or its property, except where the failure to do so, individually or in the aggregate, would not reasonably be expected to result in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10" w:name="page111"/>
    <w:bookmarkEnd w:id="110"/>
    <w:p>
      <w:pPr>
        <w:ind w:left="264" w:hanging="264"/>
        <w:spacing w:after="0"/>
        <w:tabs>
          <w:tab w:leader="none" w:pos="2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Healthcare and Regulatory Matters</w:t>
      </w:r>
      <w:r>
        <w:rPr>
          <w:rFonts w:ascii="Times New Roman" w:cs="Times New Roman" w:eastAsia="Times New Roman" w:hAnsi="Times New Roman"/>
          <w:sz w:val="18"/>
          <w:szCs w:val="18"/>
          <w:color w:val="auto"/>
        </w:rPr>
        <w:t xml:space="preserve">. Except, in each case, as may be disclosed on </w:t>
      </w:r>
      <w:r>
        <w:rPr>
          <w:rFonts w:ascii="Times New Roman" w:cs="Times New Roman" w:eastAsia="Times New Roman" w:hAnsi="Times New Roman"/>
          <w:sz w:val="18"/>
          <w:szCs w:val="18"/>
          <w:u w:val="single" w:color="auto"/>
          <w:color w:val="auto"/>
        </w:rPr>
        <w:t>Schedule 3.07(b)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Except as would not reasonably be expected to have a Material Adverse Effect on the Borrower and its Subsidiaries, to the knowledge of the Borrower, each of their respective employees and agents solely with respect to the exercise of each of their respective duties on behalf of the Borrower or its Subsidiaries are in compliance with all applicable Health Care Laws, and (2) neither the Borrower nor any of its Subsidiaries has received written notice of any pending or, to the knowledge of the Borrower or any Subsidiary, threatened claim, suit, proceeding, hearing, enforcement, audit, formal inquiry, qui tam action, appeal, professional disciplinary or regulatory proceedings, inspection, investigation, seizure, shutdown, field action, recall, untitled letter or warning letter, civil investigative demand, notice of suspension or cancellation of a drug establishment license, medical device establishment registration or other registration, permit, listing, license or clinical trial, U.S. Food and Drug Administration and any successor agency thereto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Form 483, clinical hold, arbitration or other similar correspondence or action from the DEA, the U.S. Department of Health and Human Services and any successor agency thereto, the U.S. Department of Health and Human Services Office of Inspector General, the U.S. Customs and Border Protection, and any successor agency to any of the above or any applicable Governmental Authority with jurisdiction over the safety, efficacy, research, design, development, manufacture, ownership, testing, storage, transportation, distribution, supply, packaging, processing, use, marketing, labeling, promotion, advertising, holding, import or export, disposal or sale or offer for sale of any product, service, operation or activity of the Loan Parties, including equivalent foreign and state Governmental Authorities (each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alleging that any such service, operation or activity of the Borrower or any of its Subsidiaries, or any of such products, is in violation of any applicable Health Care Law or which, if resolved in a manner adverse to the Borrower or its Subsidiaries, would be reasonably likely to result in the imposition of any penalties under a Health Care Law, or restrict their ability to conduct their business as currently conducted in under Health Care Laws;</w:t>
      </w:r>
    </w:p>
    <w:p>
      <w:pPr>
        <w:spacing w:after="0" w:line="85" w:lineRule="exact"/>
        <w:rPr>
          <w:rFonts w:ascii="Times New Roman" w:cs="Times New Roman" w:eastAsia="Times New Roman" w:hAnsi="Times New Roman"/>
          <w:sz w:val="18"/>
          <w:szCs w:val="18"/>
          <w:color w:val="auto"/>
        </w:rPr>
      </w:pPr>
    </w:p>
    <w:p>
      <w:pPr>
        <w:ind w:left="4" w:right="240" w:firstLine="419"/>
        <w:spacing w:after="0" w:line="258" w:lineRule="auto"/>
        <w:tabs>
          <w:tab w:leader="none" w:pos="69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the Borrower and its Subsidiaries, none of the Borrower, its Subsidiaries, nor to the knowledge of the Borrower, any of their respective officers, directors, employees or agents with respect to the exercise of each of their respective duties on behalf of the Borrower or its Subsidiaries have engaged in any activities which are reasonably likely to result in civil penalties imposed on or mandatory or permissive exclusion or ineligibility, debarment, or suspension of the Borrower or any Subsidiary from participation in any Federal Health Care Program or similar program outside the United States, as applicable;</w:t>
      </w:r>
    </w:p>
    <w:p>
      <w:pPr>
        <w:spacing w:after="0" w:line="75" w:lineRule="exact"/>
        <w:rPr>
          <w:rFonts w:ascii="Times New Roman" w:cs="Times New Roman" w:eastAsia="Times New Roman" w:hAnsi="Times New Roman"/>
          <w:sz w:val="18"/>
          <w:szCs w:val="18"/>
          <w:color w:val="auto"/>
        </w:rPr>
      </w:pPr>
    </w:p>
    <w:p>
      <w:pPr>
        <w:ind w:left="4" w:right="100" w:firstLine="419"/>
        <w:spacing w:after="0" w:line="256" w:lineRule="auto"/>
        <w:tabs>
          <w:tab w:leader="none" w:pos="74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on the Borrower and its Subsidiaries, all products researched, formulated, designed, developed, manufactured, owned, tested, distributed, supplied, packaged, processed, used, held, stored, transported, sold, offered for sale, imported, exported, marketed, labeled, advertised, promoted or disposed by the Borrower or any of its Subsidiaries, as applicable, are being researched, formulated, designed, developed, manufactured, owned, tested, distributed, supplied, packaged, processed, held, stored, transported, sold, offered for sale, imported, exported, marketed, labeled, advertised, promoted or disposed in compliance with all applicable Health Care Laws; and</w:t>
      </w:r>
    </w:p>
    <w:p>
      <w:pPr>
        <w:spacing w:after="0" w:line="12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84"/>
          </w:cols>
          <w:pgMar w:left="876" w:top="270" w:right="439" w:bottom="1440" w:gutter="0" w:footer="0" w:header="0"/>
        </w:sectPr>
      </w:pPr>
    </w:p>
    <w:bookmarkStart w:id="111" w:name="page112"/>
    <w:bookmarkEnd w:id="111"/>
    <w:p>
      <w:pPr>
        <w:ind w:left="440" w:right="80" w:firstLine="419"/>
        <w:spacing w:after="0" w:line="268" w:lineRule="auto"/>
        <w:tabs>
          <w:tab w:leader="none" w:pos="1168"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a Material Adverse Effect on the Borrower and its Subsidiaries (1) the Borrower and each of its Subsidiaries possesses and is operating in compliance with, all licenses, franchises, permits, clearances, registrations, approvals, variances, exemptions, platform technology designations and other authorizations from Regulatory Authorities that are necessary under any applicable Health Care Law to conduct its business as currently conducted (collectively, the “</w:t>
      </w:r>
      <w:r>
        <w:rPr>
          <w:rFonts w:ascii="Times New Roman" w:cs="Times New Roman" w:eastAsia="Times New Roman" w:hAnsi="Times New Roman"/>
          <w:sz w:val="17"/>
          <w:szCs w:val="17"/>
          <w:u w:val="single" w:color="auto"/>
          <w:color w:val="auto"/>
        </w:rPr>
        <w:t>Health Care Permits</w:t>
      </w:r>
      <w:r>
        <w:rPr>
          <w:rFonts w:ascii="Times New Roman" w:cs="Times New Roman" w:eastAsia="Times New Roman" w:hAnsi="Times New Roman"/>
          <w:sz w:val="17"/>
          <w:szCs w:val="17"/>
          <w:color w:val="auto"/>
        </w:rPr>
        <w:t>”), (2) all such Health Care Permits are in full force and effect, (3) to the Knowledge of the Borrower, each of the Subsidiaries has made all declarations and filings with the appropriate federal, state, local or foreign Governmental Authorities or Regulatory Authorities that are necessary for the Health Care Permits, and</w:t>
      </w:r>
    </w:p>
    <w:p>
      <w:pPr>
        <w:spacing w:after="0" w:line="4" w:lineRule="exact"/>
        <w:rPr>
          <w:rFonts w:ascii="Times New Roman" w:cs="Times New Roman" w:eastAsia="Times New Roman" w:hAnsi="Times New Roman"/>
          <w:sz w:val="17"/>
          <w:szCs w:val="17"/>
          <w:color w:val="auto"/>
        </w:rPr>
      </w:pPr>
    </w:p>
    <w:p>
      <w:pPr>
        <w:jc w:val="both"/>
        <w:ind w:left="440" w:right="100" w:hanging="4"/>
        <w:spacing w:after="0" w:line="255" w:lineRule="auto"/>
        <w:tabs>
          <w:tab w:leader="none" w:pos="6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has received written notice of any revocation, material modification, suspension or termination of any Health Care Permit or to the knowledge of the Borrower, do facts or circumstances exist that would reasonably be expected to cause any such Health Care Permit to not be renewed in the ordinary course.</w:t>
      </w:r>
    </w:p>
    <w:p>
      <w:pPr>
        <w:spacing w:after="0" w:line="186"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Borrower nor any of the Subsidiary Guarantors is required to be registered as an “investment company” or a company “controlled” by a company required to be registered as an “investment company”, within the meaning of the Investment Company Act of 1940.</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its Subsidiaries has timely filed or caused to be filed all federal income Tax returns and all other Tax returns and reports required to have been filed by it and has paid, caused to be paid or made a provision for the payment of all federal income Taxes and all other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would not reasonably be expected to result in a Material Adverse Effect.</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All written information and all information that is formally presented at a general meeting (which may be a telephonic meeting) of the Lenders, other than any projections, estimates, forecasts and other forward-looking information and information of a general economic or industry-specific nature, furnished by or on behalf of the Borrower or any Subsidiary to the Administrative Agent or any Lender pursuant to or in connection with this Agreement or any other Loan Document, when taken as a whole and after giving effect to all supplements and updates thereto and when taken together with the Company’s public filings with the SEC,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forecasts or projections, the Borrower represents only that such information was prepared in good faith based upon assumptions believed by the Borrower to be reasonable at the time prepared (it being understood by the Administrative Agent and the Lenders that any such forecasts or projections are not to be viewed as facts and are subject to significant uncertainties and contingencies, many of which are beyond the control of the Borrower and its Subsidiaries, that no assurances can be given that such projections will be realized and that actual results may differ materially from such projections).</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There are no Liens on any of the real or personal properties of the Borrower or any Subsidiary except for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70" w:right="43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Borrower and its Subsidiaries taken as a whole are Solvent as of the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3.17 </w:t>
      </w:r>
      <w:r>
        <w:rPr>
          <w:rFonts w:ascii="Times New Roman" w:cs="Times New Roman" w:eastAsia="Times New Roman" w:hAnsi="Times New Roman"/>
          <w:sz w:val="17"/>
          <w:szCs w:val="17"/>
          <w:u w:val="single" w:color="auto"/>
          <w:color w:val="auto"/>
        </w:rPr>
        <w:t>Security Interest in Collateral</w:t>
      </w:r>
      <w:r>
        <w:rPr>
          <w:rFonts w:ascii="Times New Roman" w:cs="Times New Roman" w:eastAsia="Times New Roman" w:hAnsi="Times New Roman"/>
          <w:sz w:val="17"/>
          <w:szCs w:val="17"/>
          <w:color w:val="auto"/>
        </w:rPr>
        <w:t xml:space="preserve">. The Collateral Documents, upon execution and delivery thereof by the parties thereto, will create in favor of the Administrative Agent, for the benefit of the Secured Parties, a valid and enforceable security interest in the Collateral covered thereby to the extent intended to be created thereby, except, as to enforcement, as may be limited by the Legal Reservations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to be prior and superior or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in right to the Liens under the Collateral Documents and (ii) when (x) financing statements (or their equivalent) in appropriate form are filed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applicable filing offices and (y) intellectual property security agreements are filed in and recorded by the United States Patent and Trademark Office or the United States Copyright Office, as applicable,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(or their equivalent), or filing and recording intellectual property security agreements, prior and superior to the rights of any other Person, except for Liens permitted by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to be prior and superior or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to the Liens under the Collateral Documents.</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Anti-Corruption Laws and Sanctions and Export Controls</w:t>
      </w:r>
      <w:r>
        <w:rPr>
          <w:rFonts w:ascii="Times New Roman" w:cs="Times New Roman" w:eastAsia="Times New Roman" w:hAnsi="Times New Roman"/>
          <w:sz w:val="18"/>
          <w:szCs w:val="18"/>
          <w:color w:val="auto"/>
        </w:rPr>
        <w:t xml:space="preserve">. The Borrower has implemented and maintains in effect risk-based policies and procedures designed to promote and achieve compliance by the Borrower, its Subsidiaries and their respective directors, officers, employees and agents with Anti-Corruption Laws, Export Controls and applicable Sanctions, and the Borrower, its Subsidiaries and their respective officers and directors and, to the knowledge of the Borrower, the Borrower’s and its Subsidiaries’ employees and agents, while acting on behalf of the Borrower, are in compliance with Anti-Corruption Laws, Export Controls and applicable Sanctions in all material respects. None of (a) the Borrower, any Subsidiary, any of their respective directors or officers or, to the knowledge of the Borrower, the Borrower’s or such Subsidiary’s employees, or (b) to the knowledge of the Borrower, any agent of the Borrower or any Subsidiary that will act in any capacity in connection with or benefit from the credit facility established hereby, is a Sanctioned Person. No Borrowing or use of the proceeds thereof will be used in violation of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The Borrower and its Subsidiaries are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13" w:name="page114"/>
    <w:bookmarkEnd w:id="11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36"/>
        <w:spacing w:after="0" w:line="256"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Loan Documents</w:t>
      </w:r>
      <w:r>
        <w:rPr>
          <w:rFonts w:ascii="Times New Roman" w:cs="Times New Roman" w:eastAsia="Times New Roman" w:hAnsi="Times New Roman"/>
          <w:sz w:val="18"/>
          <w:szCs w:val="18"/>
          <w:color w:val="auto"/>
        </w:rPr>
        <w:t xml:space="preserve">. The Administrative Agent (or its counsel) shall have received (i) from each party hereto a counterpart of this Agreement signed on behalf of such party (which, subject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may include any Electronic Signatures transmitted by telecopy, emailed pdf, or any other electronic means that reproduces an image of an actual executed signature page) and (ii) duly executed copies of the other Loan Documents and such other certificates, documents, instruments and agreements as the Administrative Agent shall reasonably request in connection with the Transactions, all in form and substance reasonably satisfactory to the Administrative Agent and its counsel and as further described in the list of closing documents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340" w:firstLine="436"/>
        <w:spacing w:after="0" w:line="261"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a favorable written opinion (addressed to the Administrative Agent and the Lenders and dated the Effective Date) of Cooley LLP, counsel for the Loan Parties, covering such matters relating to the Loan Parties, the Loan Documents or the Transactions as the Administrative Agent shall reasonably request. The Borrower hereby requests such counsel to deliver such opinion.</w:t>
      </w:r>
    </w:p>
    <w:p>
      <w:pPr>
        <w:spacing w:after="0" w:line="179" w:lineRule="exact"/>
        <w:rPr>
          <w:rFonts w:ascii="Times New Roman" w:cs="Times New Roman" w:eastAsia="Times New Roman" w:hAnsi="Times New Roman"/>
          <w:sz w:val="18"/>
          <w:szCs w:val="18"/>
          <w:color w:val="auto"/>
        </w:rPr>
      </w:pPr>
    </w:p>
    <w:p>
      <w:pPr>
        <w:ind w:right="200" w:firstLine="436"/>
        <w:spacing w:after="0" w:line="258"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and Good Standing Certificates</w:t>
      </w:r>
      <w:r>
        <w:rPr>
          <w:rFonts w:ascii="Times New Roman" w:cs="Times New Roman" w:eastAsia="Times New Roman" w:hAnsi="Times New Roman"/>
          <w:sz w:val="18"/>
          <w:szCs w:val="18"/>
          <w:color w:val="auto"/>
        </w:rPr>
        <w:t xml:space="preserve">. 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reasonably satisfactory to the Administrative Agent and its counsel and as further described in the list of closing documents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Administrative Agent shall have received (i) audited consolidated balance sheets and related statements of income, stockholders’ equity and cash flows of the Borrower and its subsidiaries, for the three most recently completed fiscal years ended at least 120 days before the Effective Date and (ii) unaudited consolidated balance sheets and related statements of income, stockholders’ equity and cash flows of the Borrower and its subsidiaries, for each subsequent fiscal quarter ended at least 60 days before the Effective Date.</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Administrative Agent shall have received, at least three Business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Effective Date.</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Administrative Agent, the Arrangers, the Lenders and their Affiliates shall have received all fees and other amounts due and payable on or prior to the Effective Date, including, to the extent invoiced at least three Business Day prior to the Effective Date, reimbursement or payment of all reasonable and documented out-of-pocket expenses required to be reimbursed or paid by the Borrower hereunder or under any fee letters with the Administrative Agent or the Arrangers.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66" w:right="479" w:bottom="1440" w:gutter="0" w:footer="0" w:header="0"/>
        </w:sectPr>
      </w:pPr>
    </w:p>
    <w:bookmarkStart w:id="114" w:name="page115"/>
    <w:bookmarkEnd w:id="114"/>
    <w:p>
      <w:pPr>
        <w:ind w:right="200" w:firstLine="436"/>
        <w:spacing w:after="0" w:line="258"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Filings Registrations and Recordings</w:t>
      </w:r>
      <w:r>
        <w:rPr>
          <w:rFonts w:ascii="Times New Roman" w:cs="Times New Roman" w:eastAsia="Times New Roman" w:hAnsi="Times New Roman"/>
          <w:sz w:val="18"/>
          <w:szCs w:val="18"/>
          <w:color w:val="auto"/>
        </w:rPr>
        <w:t xml:space="preserve">. Each document (including any UCC (or similar) financing statement and intellectual property security agreement) required by any Collateral Document in effect on the Effective Date or under applicable requirements of law to be filed, registered or recorded, if any, in order to maintain in favor of the Administrative Agent, for the benefit of the Secured Parties, a perfected Lien on the Collateral required to be delivered pursuant to such Collateral Document, shall have been received by the Administrative Agent and be in proper form for filing, registration or recordation, in each case, as further described in the list of closing documents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whether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have been satisfied on the Effective Date, by signing this Agreement, the Administrative Agent, each Lender and each Issuing Bank, as applicable, shall be deemed to have consented to, approved or accepted, or to be satisfied with, each document or other matter required hereunder to be consented to or approved by or acceptable or satisfactory to the Administrative Agent, such Lender or such Issuing Bank,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(including any Borrowing on the Effective Date, but excluding a conversion or continuation of any Loan), and of the Issuing Banks to issue, amend or extend any Letter of Credit is subject to the satisfaction of (or waiver of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following conditions:</w:t>
      </w:r>
    </w:p>
    <w:p>
      <w:pPr>
        <w:spacing w:after="0" w:line="176" w:lineRule="exact"/>
        <w:rPr>
          <w:sz w:val="20"/>
          <w:szCs w:val="20"/>
          <w:color w:val="auto"/>
        </w:rPr>
      </w:pPr>
    </w:p>
    <w:p>
      <w:pPr>
        <w:ind w:firstLine="436"/>
        <w:spacing w:after="0" w:line="258" w:lineRule="auto"/>
        <w:tabs>
          <w:tab w:leader="none" w:pos="6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shall be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or warranty that is qualified by materiality or Material Adverse Effect shall be true and correct in all respects) on and as of the date of such Borrowing or the date of issuance, amendment or extension of such Letter of Credit, as applicable, except to the extent that such representations and warranties specifically refer to an earlier date, in which case they shall be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or warranty that is qualified by materiality or Material Adverse Effect shall be true and correct in all respects) as of such earlier date.</w:t>
      </w:r>
    </w:p>
    <w:p>
      <w:pPr>
        <w:spacing w:after="0" w:line="183"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no Default or Event of Default shall have occurred and be continuing.</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 xml:space="preserve">Each Borrowing (other than a conversion or continuation of any Loans) and each issuance, amendment or extension of a Letter of Credit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(other than Unliquidated Obligations and Obligations expressly stated to survive such payment and termination) and all Letters of Credit shall have been expired or terminated (or shall have been cash collateralized or backstopped pursuant to arrangements reasonably satisfactory to the applicable Issuing Banks) and all LC Disbursements shall have been reimbursed, the Borrower covenants and agrees with the Lenders that: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Borrower will furnish to the Administrative Agent for distribution to each Lender: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115" w:name="page116"/>
    <w:bookmarkEnd w:id="115"/>
    <w:p>
      <w:pPr>
        <w:ind w:firstLine="436"/>
        <w:spacing w:after="0" w:line="254"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120 days after the end of each fiscal year of the Borrower (commencing with the fiscal year of the Borrower ending December 31, 2026),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commentary or exception and without any qualification or exception as to the scope of such audit (except as resulting solely from an upcoming Default or Event of Default under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this Agreement or the maturity of the Loans within the 12-month period following the relevant audit date)) to the effect that such consolidated financial statements present fairly in all material respects the financial condition and results of operations of the Borrower and its consolidated Subsidiaries on a consolidated basis in accordance with GAAP;</w:t>
      </w:r>
    </w:p>
    <w:p>
      <w:pPr>
        <w:spacing w:after="0" w:line="19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of the Borrower (commencing with the fiscal quarter of the Borrower ending June 30, 2026),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subject to normal year-end audit adjustments and the absence of footnotes;</w:t>
      </w:r>
    </w:p>
    <w:p>
      <w:pPr>
        <w:spacing w:after="0" w:line="187"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to the Administrative Agent, a compliance certificate of a Financial Officer of the Borrower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(i) certifying, in the case of the financial statements delivered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as presenting fairly in all material respects the financial condition and results of operations of the Borrower and its consolidated Subsidiaries on a consolidated basis in accordance with GAAP, subject to normal year-end audit adjustments and the absence of footnotes, (ii) certifying as to whether, to the knowledge of such Financial Officer, a Default has occurred and is continuing and, if a Default has occurred that is continuing, specifying the details thereof and any action taken or proposed to be taken with respect thereto, (iii) setting forth reasonably detailed calculations demonstrating compliance with the Financial Covenants and (iv) stating whether any change in GAAP or in the application thereof has occurred since the date of the audited financial statements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60 days after the beginning of each fiscal year of the Borrower (commencing with the fiscal year of the Borrower ending December 31, 2027), a copy of the plan and forecast (including a projected consolidated balance sheet, income statement and cash flow statement) of the Borrower for each quarter of such fiscal year in form reasonably satisfactory to the Administrative Agent (which, for the avoidance of doubt, shall not be required to include projections of compliance with the Financial Covenants, projections of the Secured Net Leverage Ratio or Consolidated Interest Coverage Ratio or a description of the assumptions made in the build-up of such plan and forecast); and</w:t>
      </w:r>
    </w:p>
    <w:p>
      <w:pPr>
        <w:spacing w:after="0" w:line="183"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by the Administrative Agent therefor, (x) such other information regarding the operations, business affairs and financial condition of the Borrower or any Subsidiary, or compliance with the terms of this Agreement, as the Administrative Agent or any Lender (acting through the Administrative Agent) may commercially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6" w:name="page117"/>
    <w:bookmarkEnd w:id="11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may be delivered electronically and will be deemed delivered when posted on the Borrower’s behalf on an Internet or intranet website, if any, to which the Administrative Agent has access (whether a commercial, third-party website or whether sponsored by the Administrative Agent) or on EDGAR (the Electronic Data Gathering, Analysis and Retrieval system of the SEC) or any successor thereto.</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none of the Borrower or any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a Responsible Officer having actual knowledge thereof:</w:t>
      </w:r>
    </w:p>
    <w:p>
      <w:pPr>
        <w:spacing w:after="0" w:line="54" w:lineRule="exact"/>
        <w:rPr>
          <w:sz w:val="20"/>
          <w:szCs w:val="20"/>
          <w:color w:val="auto"/>
        </w:rPr>
      </w:pPr>
    </w:p>
    <w:p>
      <w:pPr>
        <w:ind w:left="684" w:hanging="244"/>
        <w:spacing w:after="0"/>
        <w:tabs>
          <w:tab w:leader="none" w:pos="6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225" w:lineRule="exact"/>
        <w:rPr>
          <w:rFonts w:ascii="Times New Roman" w:cs="Times New Roman" w:eastAsia="Times New Roman" w:hAnsi="Times New Roman"/>
          <w:sz w:val="18"/>
          <w:szCs w:val="18"/>
          <w:color w:val="auto"/>
        </w:rPr>
      </w:pPr>
    </w:p>
    <w:p>
      <w:pPr>
        <w:ind w:left="4" w:right="140" w:firstLine="436"/>
        <w:spacing w:after="0" w:line="312" w:lineRule="auto"/>
        <w:tabs>
          <w:tab w:leader="none" w:pos="699"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commencement or receipt of any notice of any Proceeding, inspection, audit or disclosure required by or before any arbitrator or Governmental Authority against or affecting the Borrower or any Subsidiary that would reasonably be expected to result in a Material Adverse Effect;</w:t>
      </w:r>
    </w:p>
    <w:p>
      <w:pPr>
        <w:spacing w:after="0" w:line="139" w:lineRule="exact"/>
        <w:rPr>
          <w:rFonts w:ascii="Times New Roman" w:cs="Times New Roman" w:eastAsia="Times New Roman" w:hAnsi="Times New Roman"/>
          <w:sz w:val="17"/>
          <w:szCs w:val="17"/>
          <w:color w:val="auto"/>
        </w:rPr>
      </w:pPr>
    </w:p>
    <w:p>
      <w:pPr>
        <w:ind w:left="4" w:right="60" w:firstLine="436"/>
        <w:spacing w:after="0" w:line="282" w:lineRule="auto"/>
        <w:tabs>
          <w:tab w:leader="none" w:pos="68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would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left="4" w:right="100" w:firstLine="436"/>
        <w:spacing w:after="0" w:line="238" w:lineRule="auto"/>
        <w:tabs>
          <w:tab w:leader="none" w:pos="6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written correspondence (i) to the FDA (or analogous foreign, state or local Governmental Authority) from the Borrower or any Subsidiary or (ii) to the Borrower or any Subsidiary from the FDA (or analogous foreign, state or local Governmental Authority) (including any so called “warning letter”, “untitled letter”, It Has Come to Our Attention letter, FDA Form 483, press release or similar notification), in each case, that contains information or data that, in the reasonable judgment of the Borrower, has resulted or is reasonably expected to result in a significant adverse change to the labeling (package insert) for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biologic or device offered for commercial sale by the Borrower or any of its Subsidiaries at the time of such correspondence that generated greater than 15% of total revenues of the Borrower and its Subsidiaries on a consolidated basis for the most recently ended Test Period;</w:t>
      </w:r>
    </w:p>
    <w:p>
      <w:pPr>
        <w:spacing w:after="0" w:line="199" w:lineRule="exact"/>
        <w:rPr>
          <w:rFonts w:ascii="Times New Roman" w:cs="Times New Roman" w:eastAsia="Times New Roman" w:hAnsi="Times New Roman"/>
          <w:sz w:val="18"/>
          <w:szCs w:val="18"/>
          <w:color w:val="auto"/>
        </w:rPr>
      </w:pPr>
    </w:p>
    <w:p>
      <w:pPr>
        <w:ind w:left="4" w:right="160" w:hanging="4"/>
        <w:spacing w:after="0" w:line="236" w:lineRule="auto"/>
        <w:tabs>
          <w:tab w:leader="none" w:pos="2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so called “warning letter”, “untitled letter”, It Has Come to Our Attention letter, FDA Form 483, press release, or similar notification, in each case, from the FDA (or analogous foreign, state or local Governmental Authority) that identifies any material manufacturing deficiencies (whether by any Loan Party or any Subsidiary and/or by any such Loan Party’s or such Subsidiary’s suppliers, contract manufacturers, and/or third-party manufacturers) with respect to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biologic or device offered for commercial sale by the Borrower or any of its Subsidiaries at the time of such notification that generated greater than 15% of total revenues of the Borrower and its Subsidiaries on a consolidated basis for the most recently ended Test Period; and</w:t>
      </w:r>
    </w:p>
    <w:p>
      <w:pPr>
        <w:spacing w:after="0" w:line="13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64"/>
          </w:cols>
          <w:pgMar w:left="436" w:top="270" w:right="499" w:bottom="1440" w:gutter="0" w:footer="0" w:header="0"/>
        </w:sectPr>
      </w:pPr>
    </w:p>
    <w:bookmarkStart w:id="117" w:name="page118"/>
    <w:bookmarkEnd w:id="117"/>
    <w:p>
      <w:pPr>
        <w:ind w:right="140" w:firstLine="436"/>
        <w:spacing w:after="0" w:line="230"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receipt of any clinical hold or request to suspend distribution or stop shipment of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biologic or device offered for commercial sale by the Borrower or any of its Subsidiaries at the time of such notification that generated greater than 15% of total revenues of the Borrower and its Subsidiaries on a consolidated basis for the most recently ended Test Period or similar order or request from the FDA (or analogous foreign, state or local Governmental Authority).</w:t>
      </w:r>
    </w:p>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 shall be in writing, (ii) shall contain a heading or a reference line that reads “Notice under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the Neurocrine Biosciences, Inc. Credit Agreement dated as of May 14, 2026”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none of the Borrower or any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Borrower will, and will cause each of its Material Subsidiaries to (a) do or cause to be done all things necessary to preserve, renew and keep in full force and effect its legal existence and (b) take, or cause to be taken, commercially reasonable actions to preserve, renew and keep in full force and effect the rights, qualifications, licenses, permits, privileges, franchises, governmental authorizations and Intellectual Property rights material to the conduct of the business of the Borrower and its Subsidiaries taken as a whole, and maintain all requisite authority to conduct its business in each jurisdiction in which its business is conducted, except,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failure to do so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disposition, liquidation or, dissolution or other transaction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Borrower will, and will cause each of its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18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xml:space="preserve"> The Borrower will, and will cause each of its Subsidiaries to, (a) keep and maintain all tangible property material to the conduct of its business in good working order and condition, ordinary wear and tear and casualty and condemnation excepted and except (i) as otherwise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(ii) where the failure to do so would not reasonably be expected to result in a Material Adverse Effect, and (b) maintain, in all material respects, with carriers reasonably believed by the Borrower to be financially sound and reputable or through reasonable and adequate self-insurance, insurance in such amounts and against such risks and such other hazards, as, in the good faith determination of the Borrower, is customarily maintained by companies engaged in the same or similar businesses operating in the same or similar locations. Each such policy of liability or casualty insurance maintained by or on behalf of the Loan Parties shall (a) in the case of each liability insurance policy, name the Administrative Agent, on behalf of the Secured Parties, as an additional insured thereunder, (b) in the case of each casualty insurance policy, contain a lender’s loss payable clause or endorsement that names the Administrative Agent, on behalf of the Secured Parties, as the lender’s loss payee thereunder and (c) provide for at least thirty (30) days’ (ten (10) days’ in the case of cancellation for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8" w:name="page119"/>
    <w:bookmarkEnd w:id="118"/>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nonpayment) (or such shorter number of days as may be reasonably agreed upon by the Administrative Agent) prior written notice to the Administrative Agent of any cancellation of such policy. The Borrower will furnish to the Administrative Agent, upon any reasonable request of the Administrative Agent, information in reasonable detail as to the insurance so maintained. In the event the Borrower or any of its Subsidiaries at any time or times hereafter shall fail to obtain or maintain any of the policies or insurance required herein or to pay any premium in whole or in part then due and payable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reasonably deems advisable, it being agreed that the Administrative Agent shall reasonably promptly notify the Borrower of any such action. All sums so disbursed by the Administrative Agent shall constitute part of the Obligations, payable as provided in this Agreement. Notwithstanding the foregoing, so long as no Event of Default exists, the Borrower and its Subsidiaries may retain all or any portion of the proceeds of any insurance of Borrower and its Subsidiaries (and the Administrative Agent shall promptly remit to Borrower or the applicable Subsidiary any proceeds with respect to such insurance received by the Administrative Agent).</w:t>
      </w:r>
    </w:p>
    <w:p>
      <w:pPr>
        <w:spacing w:after="0" w:line="19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The Borrower will, and will cause each of its Subsidiaries to, keep proper books of record and account in which full, true and correct entries in conformity in all material respects with applicable law are made of all material financial dealings and transactions in relation to its business and activities and, subject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in form permitting financial statements conforming with GAAP to be derived therefrom. The Borrower will, and will cause each Subsidiary to, permit any representatives designated by the Administrative Agent (including any Lenders provided such Lender is accompanied by the Administrative Agent), at reasonable times upon reasonable prior written notice, to visit and inspect its properties, to examine and make extracts from its books and records and to discuss its business, operations and financial condition with its Financial Officers and, provided the Borrower or such Subsidiary is afforded the opportunity to participate in such discussion, its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 long as no Event of Default has occurred and is continuing, such inspections shall not occur more than once in any calendar year and the Borrower shall not be required to reimburse the Administrative Agent or any of its representatives for fees, costs and expenses in connection with the Administrative Agent’s exercise of such rights set forth in this sentence more than one time in any calendar year. The Borrower acknowledges that,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the Administrative Agent, after exercising its rights of inspection, may prepare and distribute to the Lenders certain reports pertaining to the Borrower and its Subsidiaries’ assets for internal use by the Administrative Agent and the Lenders. Notwithstanding anything to the contrary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none of the Borrower or any Subsidiary will be required to disclose, permit the inspection, examination or making of extracts, or discussion of, any documents, information or other matter that</w:t>
      </w:r>
    </w:p>
    <w:p>
      <w:pPr>
        <w:spacing w:after="0" w:line="12" w:lineRule="exact"/>
        <w:rPr>
          <w:sz w:val="20"/>
          <w:szCs w:val="20"/>
          <w:color w:val="auto"/>
        </w:rPr>
      </w:pPr>
    </w:p>
    <w:p>
      <w:pPr>
        <w:ind w:left="4" w:right="20" w:hanging="4"/>
        <w:spacing w:after="0" w:line="255" w:lineRule="auto"/>
        <w:tabs>
          <w:tab w:leader="none" w:pos="21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spacing w:after="0" w:line="186" w:lineRule="exact"/>
        <w:rPr>
          <w:sz w:val="20"/>
          <w:szCs w:val="20"/>
          <w:color w:val="auto"/>
        </w:rPr>
      </w:pPr>
    </w:p>
    <w:p>
      <w:pPr>
        <w:ind w:left="4" w:right="6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Borrower will, and will cause each of its Subsidiaries to, comply with all laws, rules, regulations and orders of any Governmental Authority applicable to it or its property (including without limitation Environmental Laws), except where the failure to do so, individually or in the aggregate, would not reasonably be expected to result in a Material Adverse Effect. The Borrower will maintain in effect and enforce policies and procedures designed to promote and achieve compliance by the Borrower, its Subsidiaries and their respective directors, officers, employees and agents with Anti-Corruption Laws, Export Controls and applicable Sanctions. Except where the failure to do so, individually or in the aggregate, would reasonably be expected to result in a Material Adverse Effect, the Borrower will, and will cause each Subsidiary to, (i) comply in with all applicable Health Care Laws and (ii) to hold and possess all Health Care Permits and maintain such Health Care Permits in full force and effect.</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119" w:name="page120"/>
    <w:bookmarkEnd w:id="119"/>
    <w:p>
      <w:pPr>
        <w:ind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proceeds of the Loans will be used only (i) for general corporate purposes of the Borrower and its Subsidiaries, including the financing of Permitted Acquisitions and other permitted Investments and the payment of fees and expenses associated therewith, and (ii) to pay fees and expenses associated with the Transactions. No part of the proceeds of any Loan will be used, whether directly or indirectly, for any purpose that entails a violation of any of the regulations of the Federal Reserve Board, including Regulations T, U and X. The Borrower will not request any Borrowing or Letter of Credit, and the Borrower shall not use, and the Borrower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Subsidiary Guarantors; Pledges; 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60 days (or such later date as may be reasonably agreed upon by the Administrative Agent) after any Person becomes a Domestic Subsidiary or any Domestic Subsidiary qualifies independently as, or is designated by the Borrower as, a Material Domestic Subsidiary pursuant to the definition of “Material Domestic Subsidiary” (including, for the avoidance of doubt, because such Subsidiary ceases to be an Excluded Subsidiary pursuant to the definition of “Excluded Subsidiary”), the Borrower shall provide the Administrative Agent with written notice thereof and shall cause each such Subsidiary which also qualifies as a Material Domestic Subsidiary to deliver to the Administrative Agent a Guaranty (or a joinder to the Guaranty, as applicable) and a joinder to the Security Agreement (in each case in the form contemplated hereby or thereby) pursuant to which such Subsidiary agrees to be bound by the terms and provisions thereof, such Guaranty and the Security Agreement to be accompanied by requisite organizational resolutions, other organizational documentation and legal opinions as may be reasonably requested by, and in form and substance reasonably satisfactory to, the Administrative Agent and its counsel (but, with respect to any such legal opinion, limited to the types of matters covered in the legal opinions delivered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Notwithstanding anything to the contrary in any Loan Document, no Excluded Subsidiary shall be required to be a Subsidiary Guarantor or comply (nor shall the Borrower be required to cause it to comply) with any covenant with respect to becoming a guarantor or granting a security interest, including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limitations and exceptions set forth in the applicable Collateral Documents, the Borrower will cause, and will cause each other Loan Party to cause, all of its owned property (whether personal or real, tangible, intangible, or mixed but excluding Excluded Assets) to be subject at all times to perfected Liens in favor of the Administrative Agent for the benefit of the Secured Parties to secure the Secured Obligations in accordance with the terms and conditions of the Collateral Documents, subject in any case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With respect to the pledge of any Equity Interest in any Subsidiary and subject to the terms, limitations and exceptions set forth in the applicable Collateral Documents, the Borrower will cause (A) 100% of the issued and outstanding Equity Interests of each Pledge Subsidiary that is a Domestic Subsidiary (other than Domestic Foreign Holding Companies and Subsidiaries of a Domestic Foreign Holding Company or a Foreign Subsidiary that is a CFC) and (B) 66% of the issued and outstanding Equity Interests entitled to vote (within the meaning of Treas. Reg. Section 1.956-2(c)(2)) and 100% of the issued and outstanding Equity Interests not entitled to vote (within the meaning of Treas. Reg. Section 1.956-2(c)(2)) in each Pledge Subsidiary (i) that is a Foreign Subsidiary or (ii) that is a Domestic Foreign Holding Company, in each case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0" w:name="page121"/>
    <w:bookmarkEnd w:id="12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of Equity Interests which are directly owned by the Borrower or any other Loan Party (other than Excluded Assets) to be subject at all times to a first priority, perfected (subject in any case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Lien in favor of the Administrative Agent to secure the Secured Obligations in accordance with the terms and conditions of the Collateral Documents. Without limiting the generality of the foregoing, the Borrower will, and will cause each Subsidiary Guarantor to, deliver Mortgages and Mortgage Instruments with respect to real property owned by the Borrower or such Subsidiary Guarantor which does not constitute Excluded Real Property within 180 days after (x) the acquisition thereof or (y) solely with respect to the Designated Property, such real property ceasing to be Excluded Real Property pursuant to the definition of “Excluded Real Property” (or such later date as may be reasonably agreed upon by the Administrative Agent). Notwithstanding the foregoing, no such Mortgages and Mortgage Instruments are required to be delivered hereunder for Excluded Real Property or and in any case until the date that is 180 days after the Effective Date (or such later date as may be reasonably agreed upon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enter into any Mortgage in respect of any real property acquired by any Loan Party after the Effective Date until the date that is (A) if such real property is not located in a “special flood hazard area”, ten (10) Business Days or (B) if such real property is in a “special flood hazard area”, thirty (30) days, after the Administrative Agent has delivered to the Lenders the following documents in respect of such real property: (x) a completed flood hazard determination from a third party vendor; (y) if such real property is located in a “special flood hazard area”, (I) a notification to the applicable Loan Parties of that fact and (if applicable) notification to the applicable Loan Parties that flood insurance coverage is not available and (II) evidence of the receipt by the applicable Loan Parties of such notice; and (z) if required by Flood Insurance Laws, evidence of required flood insurance.</w:t>
      </w:r>
    </w:p>
    <w:p>
      <w:pPr>
        <w:spacing w:after="0" w:line="196" w:lineRule="exact"/>
        <w:rPr>
          <w:sz w:val="20"/>
          <w:szCs w:val="20"/>
          <w:color w:val="auto"/>
        </w:rPr>
      </w:pPr>
    </w:p>
    <w:p>
      <w:pPr>
        <w:ind w:firstLine="436"/>
        <w:spacing w:after="0" w:line="255"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Borrower will, and will cause each Subsidiary Guarantor to, execute and deliver, or cause to be executed and delivered, to the Administrative Agent such documents, agreements and instruments, and will take or cause to be taken such further actions (including the filing and recording of financing statements, intellectual property security agreements, fixture filings, Mortgages, deeds of trust and other documents and such other actions or deliveries of the type required by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terms, limitations and exceptions set forth herein or in any Collateral Document, all at the expense of the Borrower.</w:t>
      </w:r>
    </w:p>
    <w:p>
      <w:pPr>
        <w:spacing w:after="0" w:line="188"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no Loan Party shall be required, nor shall the Administrative Agent be authorized, (i) to perfect a security interest in any Collateral by any means other than by (A) filings pursuant to the UCC in the office of the secretary of state (or similar central filing office) of the relevant jurisdiction, (B) filings in the United States Patent and Trademark Office and/or the United States Copyright Office, as applicable, with respect to Intellectual Property (including exclusive licenses of United States registered copyrights granted to a Loan Party), (C) (1) mortgages in respect of fee-owned real property included in the Collateral and (2) filings in the applicable real estate records with respect to real properties included in the Collateral or fixtures relating to such real properties and (D) delivery to the Administrative Agent of all stock certificates, intercompany notes and other instruments constituting Collateral required pursuant to the Collateral Documents to be held in its possession, (ii) to enter into any control agreement with respect to any deposit account, securities account or commodities account or obtain any landlord waivers, estoppels or collateral access letters, (iii) to take any action (other than entering into the Security Agreement or any actions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with respect to any assets located outside of the United States or (iv) to take any actions in any jurisdiction other than the United States (or any political subdivision thereof) or enter into any collateral documents governed by the laws of any country other than the United States (or any political subdivision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21" w:name="page122"/>
    <w:bookmarkEnd w:id="121"/>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Not later than 30 days after the Effective Date (or such later date as the Administrative Agent may reasonably agree) the Borrower shall have delivered to the Administrative Agent insurance certificates and endorsements (x) to all “All Risk” physical damage insurance policies on all of the tangible personal property and assets of the Borrower and the Subsidiary Guarantors naming the Administrative Agent as lender loss payee, and (y) to all general liability and other umbrella or excess liability policies of the Borrower and the Subsidiary Guarantors naming the Administrative Agent an additional insured.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due and payable hereunder have been paid in full (other than Unliquidated Obligations and Obligations expressly stated to survive such payment and termination) and all Letters of Credit shall have been expired or terminated (or shall have been cash collateralized or backstopped pursuant to arrangements reasonably satisfactory to the applicable Issuing Banks) and all LC Disbursements shall have been reimbursed, the Borrower covenants and agrees with the Lenders that:</w:t>
      </w:r>
    </w:p>
    <w:p>
      <w:pPr>
        <w:spacing w:after="0" w:line="7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will not, nor will it permit any Subsidiary to, create, incur, assume or permit to exist any Indebtedness, except:</w:t>
      </w:r>
    </w:p>
    <w:p>
      <w:pPr>
        <w:spacing w:after="0" w:line="162" w:lineRule="exact"/>
        <w:rPr>
          <w:sz w:val="20"/>
          <w:szCs w:val="20"/>
          <w:color w:val="auto"/>
        </w:rPr>
      </w:pPr>
    </w:p>
    <w:p>
      <w:pPr>
        <w:ind w:left="680" w:hanging="244"/>
        <w:spacing w:after="0"/>
        <w:tabs>
          <w:tab w:leader="none" w:pos="6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existing on the Effective Date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amendments, modifications and extensions of any such Indebtedness that do not increase the outstanding principal amount thereof (other than with respect to unpaid accrued interest and premiums thereon, any committed or undrawn amounts and underwriting discounts, fees, commissions, premiums and expenses associated with such Indebtedness) and (ii) any Permitted Refinancing Indebtedness in respect thereof;</w:t>
      </w:r>
    </w:p>
    <w:p>
      <w:pPr>
        <w:spacing w:after="0" w:line="179"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any Loan Party shall be subject to the limitations set forth in </w:t>
      </w:r>
      <w:r>
        <w:rPr>
          <w:rFonts w:ascii="Times New Roman" w:cs="Times New Roman" w:eastAsia="Times New Roman" w:hAnsi="Times New Roman"/>
          <w:sz w:val="18"/>
          <w:szCs w:val="18"/>
          <w:u w:val="single" w:color="auto"/>
          <w:color w:val="auto"/>
        </w:rPr>
        <w:t>Section 6.05(d</w:t>
      </w:r>
      <w:r>
        <w:rPr>
          <w:rFonts w:ascii="Times New Roman" w:cs="Times New Roman" w:eastAsia="Times New Roman" w:hAnsi="Times New Roman"/>
          <w:sz w:val="18"/>
          <w:szCs w:val="18"/>
          <w:color w:val="auto"/>
        </w:rPr>
        <w:t>) and (ii) Indebtedness of any Loan Party to any Subsidiary that is not a Loan Party shall be subordinated to the Secured Obligations on terms reasonably satisfactory to the Administrative Agent;</w:t>
      </w:r>
    </w:p>
    <w:p>
      <w:pPr>
        <w:spacing w:after="0" w:line="179"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of Indebtedness or other obligations of any Subsidiary and by any Subsidiary of Indebtedness or other obligations of the Borrower or any other Subsidiary;</w:t>
      </w:r>
    </w:p>
    <w:p>
      <w:pPr>
        <w:spacing w:after="0" w:line="161" w:lineRule="exact"/>
        <w:rPr>
          <w:rFonts w:ascii="Times New Roman" w:cs="Times New Roman" w:eastAsia="Times New Roman" w:hAnsi="Times New Roman"/>
          <w:sz w:val="18"/>
          <w:szCs w:val="18"/>
          <w:color w:val="auto"/>
        </w:rPr>
      </w:pPr>
    </w:p>
    <w:p>
      <w:pPr>
        <w:ind w:right="100" w:firstLine="436"/>
        <w:spacing w:after="0" w:line="256"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the Borrower or any Subsidiary (including the Designated Property Financing)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and extensions of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Indebtedness permitted by this </w:t>
      </w:r>
      <w:r>
        <w:rPr>
          <w:rFonts w:ascii="Times New Roman" w:cs="Times New Roman" w:eastAsia="Times New Roman" w:hAnsi="Times New Roman"/>
          <w:sz w:val="18"/>
          <w:szCs w:val="18"/>
          <w:u w:val="single" w:color="auto"/>
          <w:color w:val="auto"/>
        </w:rPr>
        <w:t>clause (e)(i)</w:t>
      </w:r>
      <w:r>
        <w:rPr>
          <w:rFonts w:ascii="Times New Roman" w:cs="Times New Roman" w:eastAsia="Times New Roman" w:hAnsi="Times New Roman"/>
          <w:sz w:val="18"/>
          <w:szCs w:val="18"/>
          <w:color w:val="auto"/>
        </w:rPr>
        <w:t xml:space="preserve"> (other than the Designated Property Financing) shall not exceed the greater of $200,000,000 and 20.0% of Consolidated EBITDA for the most recently ended Test Period at any time outstanding and (ii) any Permitted Refinancing Indebtedness in respect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2" w:name="page123"/>
    <w:bookmarkEnd w:id="122"/>
    <w:p>
      <w:pPr>
        <w:ind w:right="40" w:firstLine="436"/>
        <w:spacing w:after="0" w:line="254" w:lineRule="auto"/>
        <w:tabs>
          <w:tab w:leader="none" w:pos="66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Indebtedness of any Person that becomes a Subsidiary of the Borrower after the Effective Date in a transaction permitted by this Agreement (or of any Person not previously a Subsidiary that is merged or consolidated with or into the Borrower or a Subsidiary in a transaction permitted hereunder) or Indebtedness of any Person that is assumed by the Borrower or any Subsidiary in connection with an Acquisition or other acquisition of any property or assets permitted hereunder, which Indebtedness is existing at the time such Person becomes a Subsidiary (or is so merged or consolidated) or such assets are acquired and is not created in contemplation of or in connection with such Person becoming a Subsidiary (or such merger or consolidation) or such assets being acquired, and amendments, modifications and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Indebtedness permitted to be assumed under this </w:t>
      </w:r>
      <w:r>
        <w:rPr>
          <w:rFonts w:ascii="Times New Roman" w:cs="Times New Roman" w:eastAsia="Times New Roman" w:hAnsi="Times New Roman"/>
          <w:sz w:val="18"/>
          <w:szCs w:val="18"/>
          <w:u w:val="single" w:color="auto"/>
          <w:color w:val="auto"/>
        </w:rPr>
        <w:t>clause (f)(i)</w:t>
      </w:r>
      <w:r>
        <w:rPr>
          <w:rFonts w:ascii="Times New Roman" w:cs="Times New Roman" w:eastAsia="Times New Roman" w:hAnsi="Times New Roman"/>
          <w:sz w:val="18"/>
          <w:szCs w:val="18"/>
          <w:color w:val="auto"/>
        </w:rPr>
        <w:t xml:space="preserve"> shall not exceed the greater of $150,000,000 and 15.0% of Consolidated EBITDA for the most recently ended Test Period at any time outstanding and (ii) any Permitted Refinancing Indebtedness in respect thereof;</w:t>
      </w:r>
    </w:p>
    <w:p>
      <w:pPr>
        <w:spacing w:after="0" w:line="188"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as an account party in respect of standby letters of credit, bankers’ acceptances, bank guarantees, surety bonds and similar instruments; provided that the aggregate outstanding principal amount of Indebtedness permitted by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exceed the greater of $100,000,000 and 10.0% of Consolidated EBITDA for the most recently ended Test Period at any time outstanding;</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incurred by Foreign Subsidiaries or Subsidiaries that are not Loan Parties not to exceed the greater of $40,000,000 and 4.0% of Consolidated EBITDA for the most recently ended Test Period at any time outstanding and guarantees of such Indebtedness and (ii) Permitted Refinancing Indebtedness in respect thereof;</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they are permitted to remain unfunded under applicable law;</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directors, officers and consultants incurred in the ordinary course of business;</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earnout, royalty, milestone or similar obligations or other Deferred Acquisition Consideration, or Guarantees, surety bonds or performance bonds securing the performance of the Borrower or any of its Subsidiaries, in each case incurred or assumed in connection with a Permitted Acquisition or a disposition or other acquisition of assets permitted hereunder;</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74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similar instrument drawn against insufficient funds in the ordinary course of business or otherwise in respect of any netting services, overdrafts and any liabilities arising from treasury, depository and cash management services (including, without limitation, any demand deposit, payroll, trust or operating account relationships, merchant card, purchase or debit cards, non-card e-payables services, and other cash management services, including electronic funds transfer services, lockbox services, stop payment services and wire transfer services) or in connection with any automated clearing-house transfers of funds;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to judgments or awards under circumstances not giving rise to an Event of Default;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23" w:name="page124"/>
    <w:bookmarkEnd w:id="123"/>
    <w:p>
      <w:pPr>
        <w:ind w:left="700" w:hanging="26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in respect of obligations that are being contested in accordance with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436"/>
        <w:spacing w:after="0" w:line="312" w:lineRule="auto"/>
        <w:tabs>
          <w:tab w:leader="none" w:pos="69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consisting of (i) deferred payments or financing of insurance premiums incurred in the ordinary course of business of the Borrower or any of its Subsidiaries and (ii) take or pay obligations contained in any supply agreement entered into in the ordinary course of business;</w:t>
      </w:r>
    </w:p>
    <w:p>
      <w:pPr>
        <w:spacing w:after="0" w:line="13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expressly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severance, pension, and health and welfare retirement benefits or the equivalent to current and former employees of the Borrower and its Subsidiaries incurred in the ordinary course of business or existing on the Effective Date;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 and any Permitted Refinancing Indebtedness in respect thereof;</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Foreign Subsidiaries, and guarantees thereof by Foreign Subsidiaries, in respect of local lines of credit, letters of credit, bank guarantees and similar extensions of credit, in an aggregate principal amount not to exceed the greater of $40,000,000 and 4.0% of Consolidated EBITDA for the most recently ended Test Period at any time outstanding and (ii) any Permitted Refinancing Indebtedness in respect;</w:t>
      </w:r>
    </w:p>
    <w:p>
      <w:pPr>
        <w:spacing w:after="0" w:line="173" w:lineRule="exact"/>
        <w:rPr>
          <w:rFonts w:ascii="Times New Roman" w:cs="Times New Roman" w:eastAsia="Times New Roman" w:hAnsi="Times New Roman"/>
          <w:sz w:val="18"/>
          <w:szCs w:val="18"/>
          <w:color w:val="auto"/>
        </w:rPr>
      </w:pPr>
    </w:p>
    <w:p>
      <w:pPr>
        <w:ind w:right="200" w:firstLine="436"/>
        <w:spacing w:after="0" w:line="267"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Permitted Convertible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both immediately prior to and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the Borrower shall be in compliance with the Financial Covenants as of the last day of the most recently ended Test Period and (ii) any Permitted Refinancing Indebtedness in respect thereof that satisfies the definition of “Permitted Convertible Debt”;</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as an account party in respect of trade letters of credit;</w:t>
      </w:r>
    </w:p>
    <w:p>
      <w:pPr>
        <w:spacing w:after="0" w:line="225" w:lineRule="exact"/>
        <w:rPr>
          <w:rFonts w:ascii="Times New Roman" w:cs="Times New Roman" w:eastAsia="Times New Roman" w:hAnsi="Times New Roman"/>
          <w:sz w:val="18"/>
          <w:szCs w:val="18"/>
          <w:color w:val="auto"/>
        </w:rPr>
      </w:pPr>
    </w:p>
    <w:p>
      <w:pPr>
        <w:ind w:right="400" w:firstLine="436"/>
        <w:spacing w:after="0" w:line="266"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of the Borrower or any of its Subsidiaries in respect of deferred compensation, indemnification, earn-outs, milestone payments, adjustment of purchase or other similar arrangements or other Deferred Acquisition Consideration incurred by such Person in connection with Permitted Acquisitions or other Investments;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to suppliers, customers, franchisees, lessors, licensees,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sub-licensees and distribution partners;</w:t>
      </w:r>
    </w:p>
    <w:p>
      <w:pPr>
        <w:spacing w:after="0" w:line="207" w:lineRule="exact"/>
        <w:rPr>
          <w:sz w:val="20"/>
          <w:szCs w:val="20"/>
          <w:color w:val="auto"/>
        </w:rPr>
      </w:pPr>
    </w:p>
    <w:p>
      <w:pPr>
        <w:ind w:right="120" w:firstLine="436"/>
        <w:spacing w:after="0" w:line="282"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corporate credit cards not to exceed the greater of $50,000,000 and 5.0 % of Consolidated EBITDA for the most recently ended Test Period at any time outstanding;</w:t>
      </w:r>
    </w:p>
    <w:p>
      <w:pPr>
        <w:spacing w:after="0" w:line="162" w:lineRule="exact"/>
        <w:rPr>
          <w:sz w:val="20"/>
          <w:szCs w:val="20"/>
          <w:color w:val="auto"/>
        </w:rPr>
      </w:pPr>
    </w:p>
    <w:p>
      <w:pPr>
        <w:ind w:left="760" w:hanging="324"/>
        <w:spacing w:after="0"/>
        <w:tabs>
          <w:tab w:leader="none" w:pos="7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and its Subsidiaries in connection with bankers’ acceptances, discounted bills of exchange, warehouse receipts or similar facilities or the discounting or factoring of receivables for credit management purposes, in each case incurred or undertaken in the ordinary course of business;</w:t>
      </w:r>
    </w:p>
    <w:p>
      <w:pPr>
        <w:spacing w:after="0" w:line="175" w:lineRule="exact"/>
        <w:rPr>
          <w:rFonts w:ascii="Times New Roman" w:cs="Times New Roman" w:eastAsia="Times New Roman" w:hAnsi="Times New Roman"/>
          <w:sz w:val="18"/>
          <w:szCs w:val="18"/>
          <w:color w:val="auto"/>
        </w:rPr>
      </w:pPr>
    </w:p>
    <w:p>
      <w:pPr>
        <w:ind w:right="360" w:firstLine="436"/>
        <w:spacing w:after="0" w:line="282" w:lineRule="auto"/>
        <w:tabs>
          <w:tab w:leader="none" w:pos="7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purchased in the ordinary course of business;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40" w:top="270" w:right="479" w:bottom="1440" w:gutter="0" w:footer="0" w:header="0"/>
        </w:sectPr>
      </w:pPr>
    </w:p>
    <w:bookmarkStart w:id="124" w:name="page125"/>
    <w:bookmarkEnd w:id="124"/>
    <w:p>
      <w:pPr>
        <w:ind w:left="4" w:right="360" w:firstLine="436"/>
        <w:spacing w:after="0" w:line="261" w:lineRule="auto"/>
        <w:tabs>
          <w:tab w:leader="none" w:pos="7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incurred in the ordinary course of business in respect of obligations of the Borrower or any Subsidiary to pay the deferred purchase price of goods or services or progress payments in connection with such goods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incurred in connection with open accounts extended by suppliers on customary trade terms in the ordinary course of business and not in connection with the borrowing of money or any Swap Agreements;</w:t>
      </w:r>
    </w:p>
    <w:p>
      <w:pPr>
        <w:spacing w:after="0" w:line="179" w:lineRule="exact"/>
        <w:rPr>
          <w:rFonts w:ascii="Times New Roman" w:cs="Times New Roman" w:eastAsia="Times New Roman" w:hAnsi="Times New Roman"/>
          <w:sz w:val="18"/>
          <w:szCs w:val="18"/>
          <w:color w:val="auto"/>
        </w:rPr>
      </w:pPr>
    </w:p>
    <w:p>
      <w:pPr>
        <w:ind w:left="4" w:firstLine="436"/>
        <w:spacing w:after="0" w:line="282" w:lineRule="auto"/>
        <w:tabs>
          <w:tab w:leader="none" w:pos="7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issued by the Borrower or any Subsidiary to current or former officers, directors and employees, their respective estates, spouses or former spouses to finance the purchase or redemption of Equity Interests of the Borrower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79" w:lineRule="exact"/>
        <w:rPr>
          <w:rFonts w:ascii="Times New Roman" w:cs="Times New Roman" w:eastAsia="Times New Roman" w:hAnsi="Times New Roman"/>
          <w:sz w:val="18"/>
          <w:szCs w:val="18"/>
          <w:color w:val="auto"/>
        </w:rPr>
      </w:pPr>
    </w:p>
    <w:p>
      <w:pPr>
        <w:ind w:left="4" w:right="220" w:firstLine="436"/>
        <w:spacing w:after="0" w:line="312" w:lineRule="auto"/>
        <w:tabs>
          <w:tab w:leader="none" w:pos="78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other Indebtedness in an aggregate outstanding principal amount not exceeding the greater of $250,000,000 and 25.0 % of Consolidated EBITDA for the most recently ended Test Period at any time outstanding and (ii) any Permitted Refinancing Indebtedness in respect thereof; and</w:t>
      </w:r>
    </w:p>
    <w:p>
      <w:pPr>
        <w:spacing w:after="0" w:line="139" w:lineRule="exact"/>
        <w:rPr>
          <w:rFonts w:ascii="Times New Roman" w:cs="Times New Roman" w:eastAsia="Times New Roman" w:hAnsi="Times New Roman"/>
          <w:sz w:val="17"/>
          <w:szCs w:val="17"/>
          <w:color w:val="auto"/>
        </w:rPr>
      </w:pPr>
    </w:p>
    <w:p>
      <w:pPr>
        <w:ind w:left="784" w:hanging="344"/>
        <w:spacing w:after="0"/>
        <w:tabs>
          <w:tab w:leader="none" w:pos="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Lease Obligations arising from the Designated Property Sale and Leaseback.</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the event that an item of Indebtedness meets the criteria of more than one of the categories of Indebtedness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(hh)</w:t>
      </w:r>
      <w:r>
        <w:rPr>
          <w:rFonts w:ascii="Times New Roman" w:cs="Times New Roman" w:eastAsia="Times New Roman" w:hAnsi="Times New Roman"/>
          <w:sz w:val="18"/>
          <w:szCs w:val="18"/>
          <w:color w:val="auto"/>
        </w:rPr>
        <w:t xml:space="preserve"> above, the Borrower may, in its sole discretion, divide or classify or later divide, classify or reclassify all or a portion of such item of Indebtedness in a manner that complies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will only be required to include the amount and type of such Indebtedness (or any portion thereof)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Loan Documents will at all times be deemed to be outstanding in reliance only on the exception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Permitted Refinancing Indebtedness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extend, renew or refinance any Indebtedness incurred pursuant to a basket determined by reference to a Dollar amount or Consolidated EBITDA shall not increase capacity to incur Indebtedness under such basket, and such basket shall be deemed to continue to be utilized by the amount of such Permitted Refinancing Indebtedness unless and until such Permitted Refinancing Indebtedness is no longer outstanding.</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nor will it permit any Subsidiary to, create, incur, assume or permit to exist any Lien on any property or asset now owned or hereafter acquired by it, except:</w:t>
      </w:r>
    </w:p>
    <w:p>
      <w:pPr>
        <w:spacing w:after="0" w:line="54" w:lineRule="exact"/>
        <w:rPr>
          <w:sz w:val="20"/>
          <w:szCs w:val="20"/>
          <w:color w:val="auto"/>
        </w:rPr>
      </w:pPr>
    </w:p>
    <w:p>
      <w:pPr>
        <w:ind w:left="684" w:hanging="244"/>
        <w:spacing w:after="0"/>
        <w:tabs>
          <w:tab w:leader="none" w:pos="68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 including with respect to any obligation to provide cash collateral in respect thereof;</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4" w:right="260" w:firstLine="436"/>
        <w:spacing w:after="0" w:line="272" w:lineRule="auto"/>
        <w:tabs>
          <w:tab w:leader="none" w:pos="689"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on any property or asset of the Borrower or any Subsidiary existing on the Effective Date and set forth in </w:t>
      </w:r>
      <w:r>
        <w:rPr>
          <w:rFonts w:ascii="Times New Roman" w:cs="Times New Roman" w:eastAsia="Times New Roman" w:hAnsi="Times New Roman"/>
          <w:sz w:val="17"/>
          <w:szCs w:val="17"/>
          <w:u w:val="single" w:color="auto"/>
          <w:color w:val="auto"/>
        </w:rPr>
        <w:t>Schedule 6.02</w:t>
      </w:r>
      <w:r>
        <w:rPr>
          <w:rFonts w:ascii="Times New Roman" w:cs="Times New Roman" w:eastAsia="Times New Roman" w:hAnsi="Times New Roman"/>
          <w:sz w:val="17"/>
          <w:szCs w:val="17"/>
          <w:color w:val="auto"/>
        </w:rPr>
        <w:t xml:space="preserve"> and any amendments, modifications, extensions, renewals, refinancings and replacements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shall not apply to any other property or asset of the Borrower or any Subsidiary other than improvements thereon and proceeds from the disposition of such property or asset and</w:t>
      </w:r>
    </w:p>
    <w:p>
      <w:pPr>
        <w:spacing w:after="0" w:line="1" w:lineRule="exact"/>
        <w:rPr>
          <w:rFonts w:ascii="Times New Roman" w:cs="Times New Roman" w:eastAsia="Times New Roman" w:hAnsi="Times New Roman"/>
          <w:sz w:val="17"/>
          <w:szCs w:val="17"/>
          <w:color w:val="auto"/>
        </w:rPr>
      </w:pPr>
    </w:p>
    <w:p>
      <w:pPr>
        <w:ind w:left="4" w:right="80" w:hanging="4"/>
        <w:spacing w:after="0" w:line="290" w:lineRule="auto"/>
        <w:tabs>
          <w:tab w:leader="none" w:pos="26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secured or benefited thereby is not increased (other than as permitted by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and amendments, modifications, extensions, refinancings, renewals and replacements thereof that do not increase the outstanding principal amount thereof (other than as permitted by Section 6.01);</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4"/>
          </w:cols>
          <w:pgMar w:left="436" w:top="270" w:right="459" w:bottom="1440" w:gutter="0" w:footer="0" w:header="0"/>
        </w:sectPr>
      </w:pPr>
    </w:p>
    <w:bookmarkStart w:id="125" w:name="page126"/>
    <w:bookmarkEnd w:id="125"/>
    <w:p>
      <w:pPr>
        <w:ind w:left="4" w:firstLine="436"/>
        <w:spacing w:after="0" w:line="254" w:lineRule="auto"/>
        <w:tabs>
          <w:tab w:leader="none" w:pos="6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Lien existing on any property or asset prior to the acquisition thereof by the Borrower or any Subsidiary or existing on any property or asset of any Person that becomes a Subsidiary after the Effective Date prior to the time such Person becomes a Subsidiary and any amendments, modifications, extensions, renewals and replacements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and (iii) 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w:t>
      </w:r>
      <w:r>
        <w:rPr>
          <w:rFonts w:ascii="Times New Roman" w:cs="Times New Roman" w:eastAsia="Times New Roman" w:hAnsi="Times New Roman"/>
          <w:sz w:val="18"/>
          <w:szCs w:val="18"/>
          <w:u w:val="single" w:color="auto"/>
          <w:color w:val="auto"/>
        </w:rPr>
        <w:t>Section 6.01);</w:t>
      </w:r>
    </w:p>
    <w:p>
      <w:pPr>
        <w:spacing w:after="0" w:line="188" w:lineRule="exact"/>
        <w:rPr>
          <w:rFonts w:ascii="Times New Roman" w:cs="Times New Roman" w:eastAsia="Times New Roman" w:hAnsi="Times New Roman"/>
          <w:sz w:val="18"/>
          <w:szCs w:val="18"/>
          <w:color w:val="auto"/>
        </w:rPr>
      </w:pPr>
    </w:p>
    <w:p>
      <w:pPr>
        <w:jc w:val="both"/>
        <w:ind w:left="4" w:right="180" w:firstLine="436"/>
        <w:spacing w:after="0" w:line="276" w:lineRule="auto"/>
        <w:tabs>
          <w:tab w:leader="none" w:pos="689"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fixed or capital assets (including capital leases) acquired (including as a replacement), constructed, repaired, leased or improved by the Borrower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Liens secure Indebtedness or Capital Lease Obligations permitted by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w:t>
      </w:r>
    </w:p>
    <w:p>
      <w:pPr>
        <w:ind w:left="4" w:right="60" w:hanging="4"/>
        <w:spacing w:after="0" w:line="250" w:lineRule="auto"/>
        <w:tabs>
          <w:tab w:leader="none" w:pos="2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Liens and the Indebtedness secured thereby are incurred prior to or within 180 days after such acquisition or lease or the completion of such construction, replacement, repair or improvement (other than with respect to amendments, modifications and extensions thereof and any Permitted Refinancing Indebtedness in respect thereof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 (iii) such Liens shall not apply to any other property or assets of the Borrower or any Subsidiary other than improvements thereon, replacements and products thereof, additions and accessions thereto or proceeds from the disposition of such property or assets and customary security deposits (and, in the case of any Liens securing the Designated Property Financing,</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privileges, tenements, hereditaments, rights-of-way, easements, appendages and appurtenances appertaining to the Designated Property and</w:t>
      </w:r>
    </w:p>
    <w:p>
      <w:pPr>
        <w:spacing w:after="0" w:line="9" w:lineRule="exact"/>
        <w:rPr>
          <w:rFonts w:ascii="Times New Roman" w:cs="Times New Roman" w:eastAsia="Times New Roman" w:hAnsi="Times New Roman"/>
          <w:sz w:val="18"/>
          <w:szCs w:val="18"/>
          <w:color w:val="auto"/>
        </w:rPr>
      </w:pPr>
    </w:p>
    <w:p>
      <w:pPr>
        <w:jc w:val="both"/>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any other property, fixtures, agreements, rights, accounts, intangibles and other items relating to or used in connection with the Designated Property that are customarily subject to a Lien or security interest in similar real property financings);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of equipment provided by one lender (or a syndicate of lenders) may be cross-collateralized to other financings of equipment provided by such lender (or syndicate) but, for the avoidance of doubt, no Designated Property Financing shall be subject to any cross-collateralization under this proviso;</w:t>
      </w:r>
    </w:p>
    <w:p>
      <w:pPr>
        <w:spacing w:after="0" w:line="188"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6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 to the Borrower or such other Loan Party;</w:t>
      </w:r>
    </w:p>
    <w:p>
      <w:pPr>
        <w:spacing w:after="0" w:line="161"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any conditional sale, title retention, consignment or other similar arrangements for the sale of goods entered into by the Borrower or any of its Subsidiaries the ordinary course of business;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hereunder to finance insurance premiums solely to the extent of such premiums;</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5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26" w:name="page127"/>
    <w:bookmarkEnd w:id="126"/>
    <w:p>
      <w:pPr>
        <w:ind w:left="-20" w:right="620" w:firstLine="436"/>
        <w:spacing w:after="0" w:line="282"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cash earnest money deposits made by the Borrower or any of its Subsidiaries in connection with any Acquisition permitted by this Agreement, including, without limitation, in connection with any letter of intent or purchase agreement relating thereto;</w:t>
      </w:r>
    </w:p>
    <w:p>
      <w:pPr>
        <w:spacing w:after="0" w:line="161" w:lineRule="exact"/>
        <w:rPr>
          <w:rFonts w:ascii="Times New Roman" w:cs="Times New Roman" w:eastAsia="Times New Roman" w:hAnsi="Times New Roman"/>
          <w:sz w:val="18"/>
          <w:szCs w:val="18"/>
          <w:color w:val="auto"/>
        </w:rPr>
      </w:pPr>
    </w:p>
    <w:p>
      <w:pPr>
        <w:ind w:left="-20" w:right="660" w:firstLine="436"/>
        <w:spacing w:after="0" w:line="282" w:lineRule="auto"/>
        <w:tabs>
          <w:tab w:leader="none" w:pos="6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sale or transfer of any assets in a transaction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customary rights and restrictions contained in agreements relating to such sale or transfer pending the completion thereof;</w:t>
      </w:r>
    </w:p>
    <w:p>
      <w:pPr>
        <w:spacing w:after="0" w:line="161"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7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Loan Parties (i) in the ordinary course of business or (ii) otherwise permitted hereunder other than in connection with Indebtedness;</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and other sales of assets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6.04(i));</w:t>
      </w:r>
    </w:p>
    <w:p>
      <w:pPr>
        <w:spacing w:after="0" w:line="225"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Lien, Liens with respect to repurchase obligations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“Cash Equivalents”;</w:t>
      </w:r>
    </w:p>
    <w:p>
      <w:pPr>
        <w:spacing w:after="0" w:line="161"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in favor of a credit card or debit card processor arising in the ordinary course of business under any processor agreement and relating solely to the amounts paid or payable thereunder, or (ii) customary deposits on reserve held by such credit card or debit card processor;</w:t>
      </w:r>
    </w:p>
    <w:p>
      <w:pPr>
        <w:spacing w:after="0" w:line="161" w:lineRule="exact"/>
        <w:rPr>
          <w:rFonts w:ascii="Times New Roman" w:cs="Times New Roman" w:eastAsia="Times New Roman" w:hAnsi="Times New Roman"/>
          <w:sz w:val="18"/>
          <w:szCs w:val="18"/>
          <w:color w:val="auto"/>
        </w:rPr>
      </w:pPr>
    </w:p>
    <w:p>
      <w:pPr>
        <w:ind w:left="-20" w:right="140" w:firstLine="436"/>
        <w:spacing w:after="0" w:line="258" w:lineRule="auto"/>
        <w:tabs>
          <w:tab w:leader="none" w:pos="6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the establishment of depositary relations with banks or other financial institutions not given in connection with the issuance of Indebtedness, (ii) relating to pooled deposit or sweep accounts of any Loan Party or any Subsidiary to permit satisfaction of overdraft or similar obligations incurred in the ordinary course of business of the any such Loan Party or Subsidiary or (iii) relating to purchase orders and other agreements entered into with customers, suppliers or service providers of the Borrower or any Subsidiary in the ordinary course of business;</w:t>
      </w:r>
    </w:p>
    <w:p>
      <w:pPr>
        <w:spacing w:after="0" w:line="183"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75"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Incremental Equivalent Debt and any Permitted Refinancing Indebtedness in respect thereof permitted by Section 6.01;</w:t>
      </w:r>
    </w:p>
    <w:p>
      <w:pPr>
        <w:spacing w:after="0" w:line="161"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Purchase Assets existing or deemed to exist in connection with any Receivables Purchase Transaction;</w:t>
      </w:r>
    </w:p>
    <w:p>
      <w:pPr>
        <w:spacing w:after="0" w:line="225"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the Borrower and its Subsidiaries not otherwise permitted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securing (i) Indebtedness and other obligations in an aggregate principal amount that, together with the aggregate principle amount of other obligations that are secured pursuant to this </w:t>
      </w:r>
      <w:r>
        <w:rPr>
          <w:rFonts w:ascii="Times New Roman" w:cs="Times New Roman" w:eastAsia="Times New Roman" w:hAnsi="Times New Roman"/>
          <w:sz w:val="18"/>
          <w:szCs w:val="18"/>
          <w:u w:val="single" w:color="auto"/>
          <w:color w:val="auto"/>
        </w:rPr>
        <w:t>clause (u)</w:t>
      </w:r>
      <w:r>
        <w:rPr>
          <w:rFonts w:ascii="Times New Roman" w:cs="Times New Roman" w:eastAsia="Times New Roman" w:hAnsi="Times New Roman"/>
          <w:sz w:val="18"/>
          <w:szCs w:val="18"/>
          <w:color w:val="auto"/>
        </w:rPr>
        <w:t xml:space="preserve">, would not exceed the greater of $250,000,000 and 25.0% of Consolidated EBITDA for the most recently ended Test Period and (ii) Permitted Refinancing Indebtedness incurred to refinance obligations secured pursuant to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80"/>
          </w:cols>
          <w:pgMar w:left="460" w:top="270" w:right="459" w:bottom="1440" w:gutter="0" w:footer="0" w:header="0"/>
        </w:sectPr>
      </w:pPr>
    </w:p>
    <w:bookmarkStart w:id="127" w:name="page128"/>
    <w:bookmarkEnd w:id="127"/>
    <w:p>
      <w:pPr>
        <w:jc w:val="both"/>
        <w:ind w:left="-20" w:right="100" w:firstLine="436"/>
        <w:spacing w:after="0" w:line="261" w:lineRule="auto"/>
        <w:tabs>
          <w:tab w:leader="none" w:pos="6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on property or assets of any Subsidiary that is not a Loan Party securing (i) Indebtedness and other obligations in an aggregate principal amount that, together with the aggregate principle amount of other obligations that are secured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would not exceed the greater of $40,000,000 and 4.0% of Consolidated EBITDA for the most recently ended Test Period and (ii) Permitted Refinancing Indebtedness incurred to refinance obligations secured pursuant to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firstLine="436"/>
        <w:spacing w:after="0" w:line="266" w:lineRule="auto"/>
        <w:tabs>
          <w:tab w:leader="none" w:pos="7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5" w:lineRule="exact"/>
        <w:rPr>
          <w:rFonts w:ascii="Times New Roman" w:cs="Times New Roman" w:eastAsia="Times New Roman" w:hAnsi="Times New Roman"/>
          <w:sz w:val="18"/>
          <w:szCs w:val="18"/>
          <w:color w:val="auto"/>
        </w:rPr>
      </w:pPr>
    </w:p>
    <w:p>
      <w:pPr>
        <w:ind w:left="-20" w:right="620" w:firstLine="436"/>
        <w:spacing w:after="0" w:line="282" w:lineRule="auto"/>
        <w:tabs>
          <w:tab w:leader="none" w:pos="6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or UCC financing statement filings regarding, operating leases or consignments entered into by the Borrower or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or other security provided in the ordinary course of business to secure liability to insurance carriers or under self-insurance arrangements in respect of such obligations;</w:t>
      </w:r>
    </w:p>
    <w:p>
      <w:pPr>
        <w:spacing w:after="0" w:line="161" w:lineRule="exact"/>
        <w:rPr>
          <w:rFonts w:ascii="Times New Roman" w:cs="Times New Roman" w:eastAsia="Times New Roman" w:hAnsi="Times New Roman"/>
          <w:sz w:val="18"/>
          <w:szCs w:val="18"/>
          <w:color w:val="auto"/>
        </w:rPr>
      </w:pPr>
    </w:p>
    <w:p>
      <w:pPr>
        <w:ind w:left="-20" w:right="280" w:firstLine="436"/>
        <w:spacing w:after="0" w:line="261" w:lineRule="auto"/>
        <w:tabs>
          <w:tab w:leader="none" w:pos="6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UCC,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80" w:lineRule="exact"/>
        <w:rPr>
          <w:sz w:val="20"/>
          <w:szCs w:val="20"/>
          <w:color w:val="auto"/>
        </w:rPr>
      </w:pPr>
    </w:p>
    <w:p>
      <w:pPr>
        <w:ind w:left="-20" w:right="80" w:firstLine="436"/>
        <w:spacing w:after="0" w:line="282" w:lineRule="auto"/>
        <w:tabs>
          <w:tab w:leader="none" w:pos="7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with respect to Equity Interests of any joint venture, co-promotion agreement or similar arrangement pursuant to any joint venture, co-promotion or similar agreement;</w:t>
      </w:r>
    </w:p>
    <w:p>
      <w:pPr>
        <w:spacing w:after="0" w:line="161"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7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any real property that constitutes Excluded Real Property pursuant to </w:t>
      </w:r>
      <w:r>
        <w:rPr>
          <w:rFonts w:ascii="Times New Roman" w:cs="Times New Roman" w:eastAsia="Times New Roman" w:hAnsi="Times New Roman"/>
          <w:sz w:val="18"/>
          <w:szCs w:val="18"/>
          <w:u w:val="single" w:color="auto"/>
          <w:color w:val="auto"/>
        </w:rPr>
        <w:t>any clause</w:t>
      </w:r>
      <w:r>
        <w:rPr>
          <w:rFonts w:ascii="Times New Roman" w:cs="Times New Roman" w:eastAsia="Times New Roman" w:hAnsi="Times New Roman"/>
          <w:sz w:val="18"/>
          <w:szCs w:val="18"/>
          <w:color w:val="auto"/>
        </w:rPr>
        <w:t xml:space="preserve"> of the definition thereof and any condemnation or eminent domain proceedings affecting any real property;</w:t>
      </w:r>
    </w:p>
    <w:p>
      <w:pPr>
        <w:spacing w:after="0" w:line="161"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listed as exceptions on any mortgage insurance policy;</w:t>
      </w:r>
    </w:p>
    <w:p>
      <w:pPr>
        <w:spacing w:after="0" w:line="225"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84"/>
        <w:spacing w:after="0"/>
        <w:tabs>
          <w:tab w:leader="none" w:pos="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deposits for obligations of or to landlord and sublandlords;</w:t>
      </w:r>
    </w:p>
    <w:p>
      <w:pPr>
        <w:spacing w:after="0" w:line="225" w:lineRule="exact"/>
        <w:rPr>
          <w:rFonts w:ascii="Times New Roman" w:cs="Times New Roman" w:eastAsia="Times New Roman" w:hAnsi="Times New Roman"/>
          <w:sz w:val="18"/>
          <w:szCs w:val="18"/>
          <w:color w:val="auto"/>
        </w:rPr>
      </w:pPr>
    </w:p>
    <w:p>
      <w:pPr>
        <w:ind w:left="-20" w:right="360" w:firstLine="436"/>
        <w:spacing w:after="0" w:line="282" w:lineRule="auto"/>
        <w:tabs>
          <w:tab w:leader="none" w:pos="7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Foreign Subsidiaries or Subsidiaries that are not Loan Parties securing Indebtedness permitted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any of </w:t>
      </w:r>
      <w:r>
        <w:rPr>
          <w:rFonts w:ascii="Times New Roman" w:cs="Times New Roman" w:eastAsia="Times New Roman" w:hAnsi="Times New Roman"/>
          <w:sz w:val="18"/>
          <w:szCs w:val="18"/>
          <w:u w:val="single" w:color="auto"/>
          <w:color w:val="auto"/>
        </w:rPr>
        <w:t>clauses (h)</w:t>
      </w:r>
      <w:r>
        <w:rPr>
          <w:rFonts w:ascii="Times New Roman" w:cs="Times New Roman" w:eastAsia="Times New Roman" w:hAnsi="Times New Roman"/>
          <w:sz w:val="18"/>
          <w:szCs w:val="18"/>
          <w:color w:val="auto"/>
        </w:rPr>
        <w:t xml:space="preserve">, (w) and (z)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a Designated Property Sale and Leaseback.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60" w:top="270" w:right="459" w:bottom="1440" w:gutter="0" w:footer="0" w:header="0"/>
        </w:sectPr>
      </w:pPr>
    </w:p>
    <w:bookmarkStart w:id="128" w:name="page129"/>
    <w:bookmarkEnd w:id="128"/>
    <w:p>
      <w:pPr>
        <w:ind w:right="1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determining compliance with this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in the event that a Lien securing an item of Indebtedness or other obligation (or any portion thereof) meets the criteria for more than one of the categories of Liens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the Borrower may, in its sole discretion, divide or classify or later divide, classify or reclassify all or a portion of such Lien in a manner that complies with this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and will only be required to include the amount and type of such Lien in one or more of the above clauses;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all Liens securing Indebtedness outstanding under the Loan Documents will at all times be deemed to be outstanding in reliance only on the exception in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Liens incurred pursuant to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securing Permitted Refinancing Indebtedness which extends, renews or refinances any Indebtedness secured by Liens incurred pursuant to a basket determined by reference to a Dollar amount or Consolidated EBITDA shall not increase capacity to incur Liens under such basket, and such basket shall be deemed to continue to be utilized by the amount of such Liens securing Permitted Refinancing Indebtedness unless and until such Liens have been released.</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(a) The Borrower will not, nor will it permit any Subsidiary to, merge into or consolidate with any other Person, or permit any other Person to merge into or consolidate with it, or otherwise Dispose of all or substantially all of its assets, or all or substantially all of the Equity Interests of any of its Subsidiaries (in each case, whether now owned or hereafter acquired), or liquidate or dissolve, except that, if at the time thereof and immediately after giving effect thereto no Default shall have occurred and be continuing:</w:t>
      </w:r>
    </w:p>
    <w:p>
      <w:pPr>
        <w:spacing w:after="0" w:line="72" w:lineRule="exact"/>
        <w:rPr>
          <w:sz w:val="20"/>
          <w:szCs w:val="20"/>
          <w:color w:val="auto"/>
        </w:rPr>
      </w:pPr>
    </w:p>
    <w:p>
      <w:pPr>
        <w:ind w:left="440" w:right="260" w:firstLine="419"/>
        <w:spacing w:after="0" w:line="266" w:lineRule="auto"/>
        <w:tabs>
          <w:tab w:leader="none" w:pos="107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(other than the Borrower or any of its Subsidiaries) may merge or consolidate with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or consolidation involving (A) the Borrower must result in the Borrower as the surviving entity and (B) a Subsidiary Guarantor must result in such Subsidiary Guarantor as the surviving entity;</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2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may merge into or consolidate with a Loan Party in a transaction in which the surviving entity is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the Borrower must result in the Borrower as the surviving entity and any such merger involving a Subsidiary and a Subsidiary Guarantor must result in a Subsidiary Guarantor as the surviving entity);</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Loan Party may merge into or consolidate with another Subsidiary that is not a Loan Party;</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sell, transfer, lease or otherwise dispose of any Subsidiary that is not a Loan Party (and, in connection with a liquidation, winding up or dissolution or otherwise, any Subsidiary that is not a Loan Party may sell, transfer, lease, license or otherwise dispose of any, all or substantially all of its assets) to another Subsidiary that is not a Loan Party;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Loan Party may liquidate, wind up or dissolve if the Borrower determines in good faith that such liquidation, winding up or dissolution is in the best interests of the Borrower and is not materially disadvantageous to the Lenders;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2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may liquidate, wind up or dissolve if its assets are transferred to a Loan Party or, if such Subsidiary is not a Subsidiary Guarantor, to any other Domestic Subsidiary; and</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 may liquidate, wind up or dissolve if its assets are transferred to the Borrower or any of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29" w:name="page130"/>
    <w:bookmarkEnd w:id="129"/>
    <w:p>
      <w:pPr>
        <w:ind w:right="66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any such merger or consolidation involving a Person that is not a Wholly-Owned Subsidiary immediately prior to such merger or consolidation shall not be permitted unless it is also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436"/>
        <w:spacing w:after="0" w:line="261"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engage to any material extent in any business substantially different from businesses of the type conducted by the Borrower and its Subsidiaries (taken as a whole) on the Effective Date and businesses reasonably related, ancillary, similar, complementary or synergistic thereto or reasonable extensions, development or expansion thereof, or any business that in the Borrower’s good faith judgment constitutes a reasonable diversification of businesses conducted by the Borrower and the Subsidiaries.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nor will it permit any Subsidiary to, change its fiscal year from the basis in effect on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Borrower may (and may permit its Subsidiaries to) change their fiscal year so long as the Borrower notifies the Administrative Agent in advance of such change and upon receipt of such notice, the Borrower and the Administrative Agent will (and are hereby authorized to) make any adjustments to this Agreement that are necessary and appropriate to reflect such changes in fiscal year.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The Borrower will not, nor will it permit any Subsidiary to, make any Disposition, except:</w:t>
      </w:r>
    </w:p>
    <w:p>
      <w:pPr>
        <w:spacing w:after="0" w:line="117" w:lineRule="exact"/>
        <w:rPr>
          <w:sz w:val="20"/>
          <w:szCs w:val="20"/>
          <w:color w:val="auto"/>
        </w:rPr>
      </w:pPr>
    </w:p>
    <w:p>
      <w:pPr>
        <w:ind w:left="680" w:hanging="244"/>
        <w:spacing w:after="0"/>
        <w:tabs>
          <w:tab w:leader="none" w:pos="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worn out or surplus property in the ordinary course of business;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Cash Equivalents and inventory in the ordinary course of business;</w:t>
      </w:r>
    </w:p>
    <w:p>
      <w:pPr>
        <w:spacing w:after="0" w:line="225" w:lineRule="exact"/>
        <w:rPr>
          <w:rFonts w:ascii="Times New Roman" w:cs="Times New Roman" w:eastAsia="Times New Roman" w:hAnsi="Times New Roman"/>
          <w:sz w:val="18"/>
          <w:szCs w:val="18"/>
          <w:color w:val="auto"/>
        </w:rPr>
      </w:pPr>
    </w:p>
    <w:p>
      <w:pPr>
        <w:ind w:right="360" w:firstLine="436"/>
        <w:spacing w:after="0" w:line="312" w:lineRule="auto"/>
        <w:tabs>
          <w:tab w:leader="none" w:pos="68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by any Loan Party or Subsidiary to any other Loan Party;</w:t>
      </w:r>
    </w:p>
    <w:p>
      <w:pPr>
        <w:spacing w:after="0" w:line="225"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or sublicenses, or subleases granted in the ordinary course of business that do not interfere in any material respect with the business of the Borrower and its Subsidiaries, taken as a whole;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Intellectual Property rights that are no longer used or useful in the business of the Borrower and its Subsidiaries;</w:t>
      </w:r>
    </w:p>
    <w:p>
      <w:pPr>
        <w:spacing w:after="0" w:line="225"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write-off or Disposition of accounts receivable in connection with the collection, settlement or compromise thereof, and the forgiveness, release or compromise of any amount owed to any Loan Party or Subsidiary, in each case in the ordinary course of business;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non-core assets acquired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Dispositions shall be consummated within 360 days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consideration received for such assets shall be in an amount at least equal to the fair market value thereof (determined in good faith by the Borrower) and (ii) no less than 75% thereof shall be paid in cash;</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6.02(n))</w:t>
      </w:r>
      <w:r>
        <w:rPr>
          <w:rFonts w:ascii="Times New Roman" w:cs="Times New Roman" w:eastAsia="Times New Roman" w:hAnsi="Times New Roman"/>
          <w:sz w:val="18"/>
          <w:szCs w:val="18"/>
          <w:color w:val="auto"/>
        </w:rPr>
        <w:t xml:space="preserve">, (x) transactions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6.03(a)(v))</w:t>
      </w:r>
      <w:r>
        <w:rPr>
          <w:rFonts w:ascii="Times New Roman" w:cs="Times New Roman" w:eastAsia="Times New Roman" w:hAnsi="Times New Roman"/>
          <w:sz w:val="18"/>
          <w:szCs w:val="18"/>
          <w:color w:val="auto"/>
        </w:rPr>
        <w:t xml:space="preserve">, (y) Restricted Payments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(z) Investments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6.05(l);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40"/>
          </w:cols>
          <w:pgMar w:left="440" w:top="270" w:right="519" w:bottom="1440" w:gutter="0" w:footer="0" w:header="0"/>
        </w:sectPr>
      </w:pPr>
    </w:p>
    <w:bookmarkStart w:id="130" w:name="page131"/>
    <w:bookmarkEnd w:id="130"/>
    <w:p>
      <w:pPr>
        <w:ind w:left="4" w:firstLine="436"/>
        <w:spacing w:after="0" w:line="251" w:lineRule="auto"/>
        <w:tabs>
          <w:tab w:leader="none" w:pos="65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Disposition by the Borrower and its Subsidiaries of assets for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 Disposition having a fair market value in excess of $25,000,000, at least 75% of the total consideration for any such Disposition received by the Borrower and its Subsidiaries is in the form of cash or Cash Equivalents, (ii) no Event of Default has occurred and is continuing or would immediately result therefrom, (iii) [reserved] and (iv) in the case of a Disposition of property with an aggregate book value in the greater of $350,000,000 and 35.0% of Consolidated EBITDA for the most recently ended Test Period in any fiscal year of the Borrower, the Borrower shall be in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calculated on a pro forma basis for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following shall be deemed to be cash: (A) any liabilities (as shown on the most recent balance sheet provided hereunder or in the footnotes thereto) of the Borrower or any of its Subsidiaries (other than liabilities that are by their terms subordinated to the Obligations) that are assumed by the transferee with respect to the applicable Disposition and for which the Borrower or any of its Subsidiaries shall have been validly released by all applicable creditors in writing, (B)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that is at that time outstanding, not to exceed the greater of $40,000,000 and 4.0% of Consolidated EBITDA for the most recently ended Test Period, determined at the time of such Disposition, (C) any notes or other obligations or other securities or assets received by the Borrower or such Subsidiary from the transferee that are converted by the Borrower or such Subsidiary into cash or Cash Equivalents within 180 days after receipt thereof, (D) Indebtedness of any Subsidiary that is no longer a Subsidiary as a result of such Disposition, to the extent that the Borrower and each Subsidiary are released from any guarantee of payment of such Indebtedness in connection with the Disposition, and (E) in the case of a Disposition involving Intellectual Property and for which 100% of the consideration received therefor by the Borrower or such Subsidiary, as the case may be, is in the form of cash or Cash Equivalents (including for avoidance of doubt, any consideration that is deemed to be cash pursuant to the foregoing </w:t>
      </w:r>
      <w:r>
        <w:rPr>
          <w:rFonts w:ascii="Times New Roman" w:cs="Times New Roman" w:eastAsia="Times New Roman" w:hAnsi="Times New Roman"/>
          <w:sz w:val="18"/>
          <w:szCs w:val="18"/>
          <w:u w:val="single" w:color="auto"/>
          <w:color w:val="auto"/>
        </w:rPr>
        <w:t>clauses</w:t>
      </w:r>
    </w:p>
    <w:p>
      <w:pPr>
        <w:spacing w:after="0" w:line="10" w:lineRule="exact"/>
        <w:rPr>
          <w:rFonts w:ascii="Times New Roman" w:cs="Times New Roman" w:eastAsia="Times New Roman" w:hAnsi="Times New Roman"/>
          <w:sz w:val="18"/>
          <w:szCs w:val="18"/>
          <w:color w:val="auto"/>
        </w:rPr>
      </w:pPr>
    </w:p>
    <w:p>
      <w:pPr>
        <w:ind w:left="4" w:right="280" w:hanging="4"/>
        <w:spacing w:after="0" w:line="260" w:lineRule="auto"/>
        <w:tabs>
          <w:tab w:leader="none" w:pos="299" w:val="left"/>
        </w:tabs>
        <w:numPr>
          <w:ilvl w:val="0"/>
          <w:numId w:val="1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consideration comprising undertakings to pay cash or Cash Equivalents over time or at future dates, whether such payments are fixed, contingent or otherwise (including any Deferred Acquisition Consideration);</w:t>
      </w:r>
    </w:p>
    <w:p>
      <w:pPr>
        <w:spacing w:after="0" w:line="181" w:lineRule="exact"/>
        <w:rPr>
          <w:rFonts w:ascii="Times New Roman" w:cs="Times New Roman" w:eastAsia="Times New Roman" w:hAnsi="Times New Roman"/>
          <w:sz w:val="18"/>
          <w:szCs w:val="18"/>
          <w:u w:val="single" w:color="auto"/>
          <w:color w:val="auto"/>
        </w:rPr>
      </w:pPr>
    </w:p>
    <w:p>
      <w:pPr>
        <w:ind w:left="4" w:right="60" w:firstLine="436"/>
        <w:spacing w:after="0" w:line="266" w:lineRule="auto"/>
        <w:tabs>
          <w:tab w:leader="none" w:pos="69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and its Subsidiaries not otherwise permitted under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book value of all property Disposed of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shall not exceed the greater of $150,000,000 and 15.0 % of Consolidated EBITDA for the most recently ended Test Period;</w:t>
      </w:r>
    </w:p>
    <w:p>
      <w:pPr>
        <w:spacing w:after="0" w:line="17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 early termination or cancellation of any Permitted Bond Hedge Transaction or any Permitted Warrant Transaction;</w:t>
      </w:r>
    </w:p>
    <w:p>
      <w:pPr>
        <w:spacing w:after="0" w:line="225" w:lineRule="exact"/>
        <w:rPr>
          <w:rFonts w:ascii="Times New Roman" w:cs="Times New Roman" w:eastAsia="Times New Roman" w:hAnsi="Times New Roman"/>
          <w:sz w:val="18"/>
          <w:szCs w:val="18"/>
          <w:color w:val="auto"/>
        </w:rPr>
      </w:pPr>
    </w:p>
    <w:p>
      <w:pPr>
        <w:ind w:left="4" w:right="60" w:firstLine="436"/>
        <w:spacing w:after="0" w:line="276" w:lineRule="auto"/>
        <w:tabs>
          <w:tab w:leader="none" w:pos="749"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exclusive license of Intellectual Property (A) set forth on </w:t>
      </w:r>
      <w:r>
        <w:rPr>
          <w:rFonts w:ascii="Times New Roman" w:cs="Times New Roman" w:eastAsia="Times New Roman" w:hAnsi="Times New Roman"/>
          <w:sz w:val="17"/>
          <w:szCs w:val="17"/>
          <w:u w:val="single" w:color="auto"/>
          <w:color w:val="auto"/>
        </w:rPr>
        <w:t>Schedule 6.04</w:t>
      </w:r>
      <w:r>
        <w:rPr>
          <w:rFonts w:ascii="Times New Roman" w:cs="Times New Roman" w:eastAsia="Times New Roman" w:hAnsi="Times New Roman"/>
          <w:sz w:val="17"/>
          <w:szCs w:val="17"/>
          <w:color w:val="auto"/>
        </w:rPr>
        <w:t xml:space="preserve"> so long as such exclusive license existed as of the Effective Date and was not entered into in contemplation of avoiding the obligations or restrictions under this Agreement or any other Loan Document, (B) where</w:t>
      </w:r>
    </w:p>
    <w:p>
      <w:pPr>
        <w:ind w:left="4"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such license is for a specific geographical territory outside the United States, (y) such license is for fair market value and (z) such license does not result in a legal transfer of title of the licensed Intellectual Property, (C) relating exclusively to Non-Core Products so long as any such exclusive license is entered into on terms not materially less favorable taken as a whole than prevailing market terms as reasonably determined by the Borrower in good faith or (D)(1) relating exclusively to Non-Core Products acquired in connection with any Permitted Acquisition or (2) acquired in connection with any Permitted Acquisition so long as such exclusive license existed on the date of such Permitted Acquisition and was not entered into in contemplation of avoiding the obligations or restrictions under this Agreement or any other Loan Document and (ii) licenses, assignments or transfers of Intellectual Property between or among any of the Loan Parties or any of their Subsidiaries relating exclusively to Non-Core Products for bona fide tax planning purposes as determined in good faith by the Borrower (any such license described in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Permitted IP License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4"/>
          </w:cols>
          <w:pgMar w:left="436" w:top="270" w:right="439" w:bottom="1440" w:gutter="0" w:footer="0" w:header="0"/>
        </w:sectPr>
      </w:pPr>
    </w:p>
    <w:bookmarkStart w:id="131" w:name="page132"/>
    <w:bookmarkEnd w:id="131"/>
    <w:p>
      <w:pPr>
        <w:ind w:left="704" w:hanging="264"/>
        <w:spacing w:after="0"/>
        <w:tabs>
          <w:tab w:leader="none" w:pos="7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by the Borrower or any of its Subsidiaries of Receivable Purchase Assets pursuant to any Receivables Purchase Transaction;</w:t>
      </w:r>
    </w:p>
    <w:p>
      <w:pPr>
        <w:spacing w:after="0" w:line="225"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9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damage to or destruction of, or any condemnation or other taking for public use of, any property of the Borrower or any of its Subsidiaries;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unwinding of any Swap Agreement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pursuant to its terms;</w:t>
      </w:r>
    </w:p>
    <w:p>
      <w:pPr>
        <w:spacing w:after="0" w:line="223" w:lineRule="exact"/>
        <w:rPr>
          <w:rFonts w:ascii="Times New Roman" w:cs="Times New Roman" w:eastAsia="Times New Roman" w:hAnsi="Times New Roman"/>
          <w:sz w:val="18"/>
          <w:szCs w:val="18"/>
          <w:color w:val="auto"/>
        </w:rPr>
      </w:pPr>
    </w:p>
    <w:p>
      <w:pPr>
        <w:ind w:left="4" w:right="360" w:firstLine="436"/>
        <w:spacing w:after="0" w:line="284" w:lineRule="auto"/>
        <w:tabs>
          <w:tab w:leader="none" w:pos="69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transfer, issuance or other disposition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shares of the Equity Interests of a Foreign Subsidiary in order to qualify members of the governing body of such Foreign Subsidiary if required by applicable law;</w:t>
      </w:r>
    </w:p>
    <w:p>
      <w:pPr>
        <w:spacing w:after="0" w:line="160"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6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Borrower or any Subsidiary of termination rights under any lease, sublease, license, sublicense, concession or other agreements;</w:t>
      </w:r>
    </w:p>
    <w:p>
      <w:pPr>
        <w:spacing w:after="0" w:line="161"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7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landlords of improvements made to leased real property pursuant to customary terms of leases entered into in the ordinary course of business; and</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Property Sale and Leaseback.</w:t>
      </w:r>
    </w:p>
    <w:p>
      <w:pPr>
        <w:spacing w:after="0" w:line="225"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the event that a particular Disposition meets the criteria of more than one of the categories of Dispositions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above, the Borrower may, in its sole discretion, divide or classify all or a portion of such Disposition in a manner that complies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will only be required to include the amount and type of such Disposition (or any portion thereof) in one or more of the above clauses.</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anything to the contrary in this Agreement, no Intellectual Property that is material to the business of the Borrower and its Subsidiaries, taken as a whole, that is owned or exclusively licensed to (a) a Loan Party shall be assigned, transferred or exclusively licensed or exclusively sublicensed to (i) any Subsidiary that is not a Loan Party or (ii) any Affiliate of the Borrower or any of its Subsidiaries (other than a Loan Party) or (b) a Subsidiary that is not a Loan Party shall be assigned, transferred or exclusively licensed or sublicensed to any Affiliate of the Borrower or any of its Subsidiaries (other than a Subsidiary of the Borrower), except, in each case ((a) and (b)), for Permitted IP Licenses.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The Borrower will not, nor will it permit any Subsidiary to,</w:t>
      </w:r>
    </w:p>
    <w:p>
      <w:pPr>
        <w:spacing w:after="0" w:line="27" w:lineRule="exact"/>
        <w:rPr>
          <w:sz w:val="20"/>
          <w:szCs w:val="20"/>
          <w:color w:val="auto"/>
        </w:rPr>
      </w:pPr>
    </w:p>
    <w:p>
      <w:pPr>
        <w:ind w:left="4" w:right="20" w:hanging="4"/>
        <w:spacing w:after="0" w:line="251" w:lineRule="auto"/>
        <w:tabs>
          <w:tab w:leader="none" w:pos="21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hold or acquire (including pursuant to any merger or consolidation with any Person that was not a Wholly-Owned Subsidiary prior to such merger or consolidation) any capital stock, evidences of indebtedness or other securities (including any option, warrant or other similar right to acquire any of the foregoing) of, make or permit to exist any loans or advances to, Guarantee any obligations of, or make or permit to exist any investment or any other beneficial interest in, any other Person, (ii) purchase or otherwise acquire (in one transaction or a series of transactions) any Person or all or substantially all of the assets of any Persons or any assets of any other Person constituting a business unit, division, product line (including rights in respect of any drug, biological product or other pharmaceutical product) or line of business of such Person or (iii) acquire an Exclusive License of rights to a drug, biological product, pharmaceutical product or other product line of any Person (each of the foregoing transactions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purchase of any Permitted Bond Hedge Transaction or any Permitted Warrant Transaction by the Borrower or any of its Subsidiaries and the performance of its obligations thereunder shall not be an Investment), except:</w:t>
      </w:r>
    </w:p>
    <w:p>
      <w:pPr>
        <w:spacing w:after="0" w:line="84" w:lineRule="exact"/>
        <w:rPr>
          <w:rFonts w:ascii="Times New Roman" w:cs="Times New Roman" w:eastAsia="Times New Roman" w:hAnsi="Times New Roman"/>
          <w:sz w:val="18"/>
          <w:szCs w:val="18"/>
          <w:color w:val="auto"/>
        </w:rPr>
      </w:pPr>
    </w:p>
    <w:p>
      <w:pPr>
        <w:ind w:left="4" w:right="840" w:firstLine="436"/>
        <w:spacing w:after="0" w:line="282" w:lineRule="auto"/>
        <w:tabs>
          <w:tab w:leader="none" w:pos="689"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Cash and Cash Equivalents and (ii) Investments consisting of deposit accounts and securities accounts containing cash and Cash Equivalents;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4"/>
          </w:cols>
          <w:pgMar w:left="436" w:top="270" w:right="479" w:bottom="1440" w:gutter="0" w:footer="0" w:header="0"/>
        </w:sectPr>
      </w:pPr>
    </w:p>
    <w:bookmarkStart w:id="132" w:name="page133"/>
    <w:bookmarkEnd w:id="132"/>
    <w:p>
      <w:pPr>
        <w:ind w:left="704" w:hanging="264"/>
        <w:spacing w:after="0"/>
        <w:tabs>
          <w:tab w:leader="none" w:pos="7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Acquisitions;</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the Borrower and its Subsidiaries existing on the Effective Date in the capital stock of their respective Subsidiaries,</w:t>
      </w:r>
    </w:p>
    <w:p>
      <w:pPr>
        <w:spacing w:after="0" w:line="27" w:lineRule="exact"/>
        <w:rPr>
          <w:rFonts w:ascii="Times New Roman" w:cs="Times New Roman" w:eastAsia="Times New Roman" w:hAnsi="Times New Roman"/>
          <w:sz w:val="18"/>
          <w:szCs w:val="18"/>
          <w:color w:val="auto"/>
        </w:rPr>
      </w:pPr>
    </w:p>
    <w:p>
      <w:pPr>
        <w:ind w:left="4" w:right="260" w:hanging="4"/>
        <w:spacing w:after="0" w:line="260" w:lineRule="auto"/>
        <w:tabs>
          <w:tab w:leader="none" w:pos="26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and its Subsidiaries in a Loan Party and (iii) Investments by any Person existing on the date such Person becomes a Subsidiary or consolidates or merges with the Borrower or any of its Subsidiaries pursuant to a transaction otherwise permitted hereunder;</w:t>
      </w:r>
    </w:p>
    <w:p>
      <w:pPr>
        <w:spacing w:after="0" w:line="181"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9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capital contributions) made by the Borrower in or to any Subsidiary and made by any Subsidiary in or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 more than an aggregate amount of the greater of $150,000,000 and 15.0% of Consolidated EBITDA for the most recently ended Test Period in Investments and capital contributions may be made and remain outstanding, at any time in reliance on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by Loan Parties to Subsidiaries which are not Loan Parties);</w:t>
      </w:r>
    </w:p>
    <w:p>
      <w:pPr>
        <w:spacing w:after="0" w:line="1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deposits described in any of clauses (c) and (d) of the definition of “Permitted Encumbrances” and </w:t>
      </w:r>
      <w:r>
        <w:rPr>
          <w:rFonts w:ascii="Times New Roman" w:cs="Times New Roman" w:eastAsia="Times New Roman" w:hAnsi="Times New Roman"/>
          <w:sz w:val="18"/>
          <w:szCs w:val="18"/>
          <w:u w:val="single" w:color="auto"/>
          <w:color w:val="auto"/>
        </w:rPr>
        <w:t>Section 6.02(k);</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comprised of notes payable, stock or other securities issued by account debtors to the Borrower or any of its Subsidiaries pursuant to negotiated agreements with respect to settlement of such account debtor’s accounts in the ordinary course of business or Investments otherwise received in settlement of obligations owed by any financially troubled account debtors or other debtors in connection with such Person’s reorganization or in bankruptcy, insolvency or similar proceedings or in connection with foreclosure on or transfer of title with respect to any secured Investment;</w:t>
      </w:r>
    </w:p>
    <w:p>
      <w:pPr>
        <w:spacing w:after="0" w:line="164"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trade credit or the holding of receivables in the ordinary course of business;</w:t>
      </w:r>
    </w:p>
    <w:p>
      <w:pPr>
        <w:spacing w:after="0" w:line="225"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5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redemption, retirement, acquisition, cancellation or termination of any Equity Interests of the Borrower or any option, warrant or other right to acquire any such Equity Interests in the Borrower, in each case to the extent the payment therefore is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5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officers, directors, employees, managers, consultants or independent contractors (i) for moving, payroll, entertainment, travel and other similar expenses in the ordinary course of business not to exceed $10,000,000 in the aggregate at any time outstanding and (ii) solely in the case of loans and advances, in connection with such Person’s acquisition of Equity Interests of the Borrower, to the extent permitted pursuant to </w:t>
      </w:r>
      <w:r>
        <w:rPr>
          <w:rFonts w:ascii="Times New Roman" w:cs="Times New Roman" w:eastAsia="Times New Roman" w:hAnsi="Times New Roman"/>
          <w:sz w:val="18"/>
          <w:szCs w:val="18"/>
          <w:u w:val="single" w:color="auto"/>
          <w:color w:val="auto"/>
        </w:rPr>
        <w:t>Section 6.08(k)</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for collection or deposit and prepaid expenses made in the ordinary course of business;</w:t>
      </w:r>
    </w:p>
    <w:p>
      <w:pPr>
        <w:spacing w:after="0" w:line="225"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65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(to the extent constituting Investments) or promissory notes and other non-cash consideration received in connection with Dispositions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74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the creation of new Subsidiaries so long as the Borrower or such Subsidiary complies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 and any Investment in such new Subsidiary is otherwise permitted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64"/>
          </w:cols>
          <w:pgMar w:left="436" w:top="270" w:right="499" w:bottom="1440" w:gutter="0" w:footer="0" w:header="0"/>
        </w:sectPr>
      </w:pPr>
    </w:p>
    <w:bookmarkStart w:id="133" w:name="page134"/>
    <w:bookmarkEnd w:id="133"/>
    <w:p>
      <w:pPr>
        <w:ind w:right="260" w:firstLine="436"/>
        <w:spacing w:after="0" w:line="282"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Guarantees of leases and other contractual obligations of the Borrower or any Subsidiary (to the extent not constituting Indebtedness) in the ordinary course of business;</w:t>
      </w:r>
    </w:p>
    <w:p>
      <w:pPr>
        <w:spacing w:after="0" w:line="161" w:lineRule="exact"/>
        <w:rPr>
          <w:rFonts w:ascii="Times New Roman" w:cs="Times New Roman" w:eastAsia="Times New Roman" w:hAnsi="Times New Roman"/>
          <w:sz w:val="18"/>
          <w:szCs w:val="18"/>
          <w:color w:val="auto"/>
        </w:rPr>
      </w:pPr>
    </w:p>
    <w:p>
      <w:pPr>
        <w:jc w:val="both"/>
        <w:ind w:right="500" w:firstLine="436"/>
        <w:spacing w:after="0" w:line="266"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rights with respect to one or more products or technologies under development to joint ventures with third parties or to other entities where the Borrower or a Subsidiary retains rights to acquire such joint ventures or other entities or otherwise repurchase such products or technologies;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form of Swap Agreements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Effective Date and described in </w:t>
      </w:r>
      <w:r>
        <w:rPr>
          <w:rFonts w:ascii="Times New Roman" w:cs="Times New Roman" w:eastAsia="Times New Roman" w:hAnsi="Times New Roman"/>
          <w:sz w:val="18"/>
          <w:szCs w:val="18"/>
          <w:u w:val="single" w:color="auto"/>
          <w:color w:val="auto"/>
        </w:rPr>
        <w:t>Schedule 6.05(q)</w:t>
      </w:r>
      <w:r>
        <w:rPr>
          <w:rFonts w:ascii="Times New Roman" w:cs="Times New Roman" w:eastAsia="Times New Roman" w:hAnsi="Times New Roman"/>
          <w:sz w:val="18"/>
          <w:szCs w:val="18"/>
          <w:color w:val="auto"/>
        </w:rPr>
        <w:t xml:space="preserve"> and any modification, replacement, renewal or extension thereof to the extent not involving any additional Investment;</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ind w:right="400" w:firstLine="436"/>
        <w:spacing w:after="0" w:line="284" w:lineRule="auto"/>
        <w:tabs>
          <w:tab w:leader="none" w:pos="6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so long as prior to making such Investments and immediately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(i) no Event of Default then exists and (ii) the Total Net Leverage Ratio does not exceed 3.25 to 1.00;</w:t>
      </w:r>
    </w:p>
    <w:p>
      <w:pPr>
        <w:spacing w:after="0" w:line="160"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loans or advances made by the Borrower or any of its Subsidiaries so long as the aggregate amount of all such Investments, loans and advances does not exceed the greater of $300,000,000 and 30.0% of Consolidated EBITDA for the most recently ended Test Period at any time outstanding;</w:t>
      </w:r>
    </w:p>
    <w:p>
      <w:pPr>
        <w:spacing w:after="0" w:line="175" w:lineRule="exact"/>
        <w:rPr>
          <w:rFonts w:ascii="Times New Roman" w:cs="Times New Roman" w:eastAsia="Times New Roman" w:hAnsi="Times New Roman"/>
          <w:sz w:val="18"/>
          <w:szCs w:val="18"/>
          <w:color w:val="auto"/>
        </w:rPr>
      </w:pPr>
    </w:p>
    <w:p>
      <w:pPr>
        <w:ind w:right="680" w:firstLine="436"/>
        <w:spacing w:after="0" w:line="282"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payment in the ordinary course of business to another Person in connection with obtaining a right to receive a royalty or other payments in the future;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Restricted Payments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73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earnest money deposits made by the Borrower or its Subsidiaries in connection with any letter of intent or other agreement in respect of any Investment permitted by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obligations of one or more officers or other employees of any direct or indirect parent of the Borrower, the Borrower or any Subsidiary of the Borrower in connection with such officer’s or employee’s acquisition of Equity Interests of any direct or indirect parent of the Borrower, so long as no cash is actually advanced by the Borrower or any Subsidiary to such officers or employees in connection with the acquisition of any such obligations;</w:t>
      </w:r>
    </w:p>
    <w:p>
      <w:pPr>
        <w:spacing w:after="0" w:line="179"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with Equity Interests (other than Disqualified Equity) of the Borrower or from the Net Proceeds received by the Borrower from the sale or issuance of Equity Interests (other than Disqualified Equity) of the Borrower so long as such Investment is made within ninety (90) days of the receipt of such Net Proceeds;</w:t>
      </w:r>
    </w:p>
    <w:p>
      <w:pPr>
        <w:spacing w:after="0" w:line="176" w:lineRule="exact"/>
        <w:rPr>
          <w:sz w:val="20"/>
          <w:szCs w:val="20"/>
          <w:color w:val="auto"/>
        </w:rPr>
      </w:pPr>
    </w:p>
    <w:p>
      <w:pPr>
        <w:ind w:right="1060" w:firstLine="436"/>
        <w:spacing w:after="0" w:line="282" w:lineRule="auto"/>
        <w:tabs>
          <w:tab w:leader="none" w:pos="76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mergers, amalgamations, consolidations and transfers of all or substantially all assets permitted under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4" w:name="page135"/>
    <w:bookmarkEnd w:id="134"/>
    <w:p>
      <w:pPr>
        <w:ind w:right="120" w:firstLine="436"/>
        <w:spacing w:after="0" w:line="282" w:lineRule="auto"/>
        <w:tabs>
          <w:tab w:leader="none" w:pos="7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in Similar Businesses so long as the aggregate amount of all such Investments does not exceed the greater of $200,000,000 and 20.0% of Consolidated EBITDA for the most recently ended Test Period at any time outstanding;</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7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 aggregate amount at any time outstanding not to exceed the Available Amount at such time so long as prior to making any such Investment and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no Event of Default has occurred and is continuing;</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7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equivalent thereof), acquisition, sale or contribution of Intellectual Property rights or proprietary materials pursuant to pharmaceutical or therapeutic product licensing arrangements, Collaboration Agreements, development, promotion, distribution, marketing, supply, research or similar arrangements with other persons made in the ordinary course of business, in a manner consistent with industry practice (in the Borrower’s good faith judgment);</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7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the form of a prepayment of expenses, so long as such expenses are being paid in accordance with customary trade terms of the Borrower or such Subsidiary;</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72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purchases and acquisitions of inventory, supplies, materials and equipment, in each case in the ordinary course of business; and</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Property Acquisition.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covenant compliance with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the amount of any Investment shall be the amount actually invested, without adjustment for subsequent increases or decreases in the value of such Investment,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amount paid, repaid, returned, distributed or otherwise received in cash or Cash Equivalents in respect of such Investment.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Furthermore, for purposes of determining compliance with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in the event that a particular Investment meets the criteria of more than one of the categories of Investments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above, the Borrower may, in its sole discretion, divide or classify or later divide, classify or reclassify all or a portion of such Investment in a manner that complies with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will only be required to include the amount and type of such Investment (or any portion thereof) in one or more of the above clauses.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anything to the contrary in this Agreement, no Intellectual Property that is material to the business of the Borrower and its Subsidiaries, taken as a whole, that is owned or licensed to (a) a Loan Party shall be assigned, transferred or exclusively licensed or exclusively sublicensed to (i) any Subsidiary that is not a Loan Party or (ii) any Affiliate of the Borrower or any of its Subsidiaries (other than a Loan Party) or (b) a Subsidiary that is not a Loan Party shall be assigned, transferred or exclusively licensed or sublicensed to any Affiliate of the Borrower or any of its Subsidiaries (other than a Subsidiary of the Borrower), except, in each case, for Permitted IP Licenses.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nor will it permit any Subsidiary to, enter into any Swap Agreement, except (a) Swap Agreements entered into to hedge or mitigate risks to which the Borrower or any Subsidiary has actual exposure (other than those in respect of Equity Interests of the Borrower or any of its Subsidiaries), (b) Swap Agreements entered into in order to effectively cap, collar or exchange interest rates (from fixed to floating rates, from one floating rate to another floating rate or otherwise) with respect to any interest-bearing liability or investment of the Borrower or any Subsidiary and (c) forward equity commitments or confirmations and forward equity sale agreements (in each case regardless of whether they provide for settlement election by the seller) with customary terms (including, without limitation, being subject to the terms of a master agreement published by the International Swaps and Derivatives Association, Inc.).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40" w:top="270" w:right="479" w:bottom="1440" w:gutter="0" w:footer="0" w:header="0"/>
        </w:sectPr>
      </w:pPr>
    </w:p>
    <w:bookmarkStart w:id="135" w:name="page136"/>
    <w:bookmarkEnd w:id="135"/>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6.07 </w:t>
      </w: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The Borrower will not, nor will it permit any Subsidiary to, sell, lease, license or otherwise transfer any property or assets to, or purchase, lease, license or otherwise acquire any property or assets from, or otherwise engage in any other transactions with, any of its Affiliates, except (a) transactions on terms and conditions not materially less favorable to the Borrower or such Subsidiary than could be obtained on an arm’s-length basis from a Person that is not an Affiliate for a comparable transaction, (b) transactions between or among the Borrower and its Subsidiaries (or an entity that becomes a Subsidiary of the Borrower as a result of such transaction) (or any combination thereof), (c) the payment of customary fees to directors of the Borrower or any of its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Borrower or any of its Subsidiaries, (d) transactions undertaken in good faith for the purpose of improving the consolidated tax efficiency of the Borrower and its Subsidiaries,</w:t>
      </w:r>
    </w:p>
    <w:p>
      <w:pPr>
        <w:spacing w:after="0" w:line="5" w:lineRule="exact"/>
        <w:rPr>
          <w:sz w:val="20"/>
          <w:szCs w:val="20"/>
          <w:color w:val="auto"/>
        </w:rPr>
      </w:pPr>
    </w:p>
    <w:p>
      <w:pPr>
        <w:ind w:left="4" w:right="80" w:hanging="4"/>
        <w:spacing w:after="0" w:line="251" w:lineRule="auto"/>
        <w:tabs>
          <w:tab w:leader="none" w:pos="2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advances and other transactions to the extent permitted by the terms of this Agreement, including without limitation any Restricted Payment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(f) issuances of Equity Interests to Affiliates and the registration rights associated therewith, (g) transactions with Affiliates as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(together with any amendments, restatements, extensions, replacements or other modifications thereto that are not materially adverse to the interests of the Lenders in their capacities as such), (h) any license, sublicense, lease or sublease (1) in existence on the Effective Date (together with any amendments, restatements, extensions, replacements or other modifications thereto that are not materially adverse to the interests of the Lenders in their capacities as such), (2) in the ordinary course of business or (3) substantially consistent with past practices, (i) transactions with joint ventures for the purchase or sale of property or other assets and services entered into in the ordinary course of business and Investments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in joint ventures, and (j) any transactions or series of related transactions with respect to which the aggregate consideration paid, or fair market value of property sold or disposed of, by the Borrower and its Subsidiaries is less than $50,000,000.</w:t>
      </w:r>
    </w:p>
    <w:p>
      <w:pPr>
        <w:spacing w:after="0" w:line="193"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Borrower will not, nor will it permit any Subsidiary to, declare or make, or agree to pay or make, directly or indirectly, any Restricted Payment, except:</w:t>
      </w:r>
    </w:p>
    <w:p>
      <w:pPr>
        <w:spacing w:after="0" w:line="162" w:lineRule="exact"/>
        <w:rPr>
          <w:sz w:val="20"/>
          <w:szCs w:val="20"/>
          <w:color w:val="auto"/>
        </w:rPr>
      </w:pPr>
    </w:p>
    <w:p>
      <w:pPr>
        <w:ind w:left="4" w:firstLine="436"/>
        <w:spacing w:after="0" w:line="282" w:lineRule="auto"/>
        <w:tabs>
          <w:tab w:leader="none" w:pos="68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or make other Restricted Payments with respect to its Equity Interests payable solely in additional Equity Interests (other than Disqualified Equity);</w:t>
      </w:r>
    </w:p>
    <w:p>
      <w:pPr>
        <w:spacing w:after="0" w:line="161" w:lineRule="exact"/>
        <w:rPr>
          <w:rFonts w:ascii="Times New Roman" w:cs="Times New Roman" w:eastAsia="Times New Roman" w:hAnsi="Times New Roman"/>
          <w:sz w:val="18"/>
          <w:szCs w:val="18"/>
          <w:color w:val="auto"/>
        </w:rPr>
      </w:pPr>
    </w:p>
    <w:p>
      <w:pPr>
        <w:ind w:left="4" w:right="160" w:firstLine="436"/>
        <w:spacing w:after="0" w:line="270" w:lineRule="auto"/>
        <w:tabs>
          <w:tab w:leader="none" w:pos="699"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Borrower or a Subsidiary), (ii) make other Restricted Payments to the Borrower or any Subsidiary Guarantor (either directly or indirectly through one or more Subsidiaries that are not Loan Parties) and</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Restricted Payments that the Borrower would have otherwise been permitted to make pursuant to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8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pursuant to and in accordance with restricted stock agreements, stock option plans or other benefit plans for management, directors or employees of the Borrower and its Subsidiaries;</w:t>
      </w:r>
    </w:p>
    <w:p>
      <w:pPr>
        <w:spacing w:after="0" w:line="16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4"/>
          </w:cols>
          <w:pgMar w:left="436" w:top="270" w:right="459" w:bottom="1440" w:gutter="0" w:footer="0" w:header="0"/>
        </w:sectPr>
      </w:pPr>
    </w:p>
    <w:bookmarkStart w:id="136" w:name="page137"/>
    <w:bookmarkEnd w:id="136"/>
    <w:p>
      <w:pPr>
        <w:ind w:right="80" w:firstLine="436"/>
        <w:spacing w:after="0" w:line="261" w:lineRule="auto"/>
        <w:tabs>
          <w:tab w:leader="none" w:pos="68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may make other Restricted Payments in an aggregate amount, together with any Restricted Debt Payments incurred pursuant to </w:t>
      </w:r>
      <w:r>
        <w:rPr>
          <w:rFonts w:ascii="Times New Roman" w:cs="Times New Roman" w:eastAsia="Times New Roman" w:hAnsi="Times New Roman"/>
          <w:sz w:val="18"/>
          <w:szCs w:val="18"/>
          <w:u w:val="single" w:color="auto"/>
          <w:color w:val="auto"/>
        </w:rPr>
        <w:t>Section 6.10(a)(ii)</w:t>
      </w:r>
      <w:r>
        <w:rPr>
          <w:rFonts w:ascii="Times New Roman" w:cs="Times New Roman" w:eastAsia="Times New Roman" w:hAnsi="Times New Roman"/>
          <w:sz w:val="18"/>
          <w:szCs w:val="18"/>
          <w:color w:val="auto"/>
        </w:rPr>
        <w:t xml:space="preserve">, not to exceed the greater of $200,000,000 and 20.0% of Consolidated EBITDA for the most recently ended Test Period so long as prior to making such Restricted Payments and immediately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no Event of Default has occurred and is continuing;</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any other Restricted Payment so long as prior to making such Restricted Payment and immediately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(i) no Event of Default has occurred and is continuing, (ii) the Total Net Leverage Ratio does not exceed 2.75 to 1.00;</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in an aggregate amount not to exceed the Available Amount at such time so long as prior to making any such Restricted Payment and after giving effect (including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thereto no Event of Default has occurred and is continuing;</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payments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Borrower;</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loans or advances to officers, directors, employees, managers, consultants and independent contractors of the Borrower or any Subsidiary of the Borrower in connection with such Person’s purchase of Equity Interests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cash is actually advanced other than to pay taxes due in connection with such purchase, unless immediately repaid; and</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in the event that a particular Restricted Payment meets the criteria of more than one of the categories of Restricted Payments described in clauses (a) through (l) above, the Borrower may, in its sole discretion, divide or classify or later divide, classify or reclassify all or a portion of such Restricted Payment in a manner that complies with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will only be required to include the amount and type of such Restricted Payment (or any portion thereof) in one or more of the above clauses.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The Borrower will not, nor will it permit any Subsidiary to, directly or indirectly, enter into, incur or permit to exist any agreement or other arrangement that prohibits, restricts or imposes any condition upon (a) the ability of the Borrower any Subsidiary to create, incur or permit to exist any Lien upon any of its property or assets to secure the Secured Obligations (to the extent required by the Loan Documents), or (b) the ability of any Subsidiary to pay dividends or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37" w:name="page138"/>
    <w:bookmarkEnd w:id="137"/>
    <w:p>
      <w:pPr>
        <w:ind w:left="4"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distributions with respect to holders of its Equity Interests or to make or repay loans or advances to the Borrower or any other Subsidiary, or (to the extent required by the Loan Documents) to Guarantee the Secured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not apply to (A) restrictions and conditions imposed by law or by any Loan Document, (B) restrictions and conditions existing on the Effective Date identified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 modification, refinancing, replacement, renewal or extension thereof that does not materially expand the scope of any such restriction or condition taken as a whole, (C) restrictions and conditions imposed on any Subsidiary or asset by any agreements in existence at the time such Subsidiary became a Subsidiary or such asset was acquired and any amendment, modification, refinancing, replacement, renewal or extension thereof that does not materially expand the scope of any such restriction or condition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such Subsidiary or asset, (D) customary restrictions and conditions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that is to be sold, (E) customary restrictions and conditions contained in any agreement relating to the disposition of any property pending the consummation of such disposition, (F) restrictions in the transfers of assets encumbered by a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(G) restrictions or conditions set forth in any agreement governing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are customary for such Indebtedness as determined in the good faith judgment of the Borrower, (H) customary provisions restricting assignment of any leases, sub-leases, licenses, sublicenses, contracts and other similar agreements entered into in the ordinary course of business or restricting the assignment, pledge, transfer or sublease or sublicense of the property leased, licensed or otherwise the subject thereof, (I) customary restrictions on cash or other deposits (including escrowed funds) or net worth imposed under contracts,</w:t>
      </w:r>
    </w:p>
    <w:p>
      <w:pPr>
        <w:spacing w:after="0" w:line="11" w:lineRule="exact"/>
        <w:rPr>
          <w:sz w:val="20"/>
          <w:szCs w:val="20"/>
          <w:color w:val="auto"/>
        </w:rPr>
      </w:pPr>
    </w:p>
    <w:p>
      <w:pPr>
        <w:ind w:left="4" w:right="20" w:hanging="4"/>
        <w:spacing w:after="0" w:line="265" w:lineRule="auto"/>
        <w:tabs>
          <w:tab w:leader="none" w:pos="23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conditions in any agreement evidencing Permitted Convertible Debt that restricts the merger or consolidation of, or the sale of all or substantially all of the assets of, the Borrower or taken as a whole, are not more restrictive on the Borrower and its Subsidiaries in any material respect than the comparable restrictions and encumbrances in the Loan Documents, taken as a whole (as reasonably determined by a Responsible Officer of Borrower in good faith), (K) [reserved], (L) customary restrictions (as reasonably determined by the Borrower) in the definitive documentation governing any Receivables Purchase Transaction; (M) prohibitions, restrictions and conditions contained in any agreement or document relating to the consummation of a transaction which is conditioned upon (i) the amendment, restatement, modification or replacement of this Agreement which would have the effect of consenting to such prohibition, restriction or condition or (ii) the repayment in full (other than contingent indemnification and expense reimbursement obligations for which no claim has been made) of Obligations owing under this Agreement and the termination of the Commitments,</w:t>
      </w:r>
    </w:p>
    <w:p>
      <w:pPr>
        <w:spacing w:after="0" w:line="1" w:lineRule="exact"/>
        <w:rPr>
          <w:rFonts w:ascii="Times New Roman" w:cs="Times New Roman" w:eastAsia="Times New Roman" w:hAnsi="Times New Roman"/>
          <w:sz w:val="17"/>
          <w:szCs w:val="17"/>
          <w:color w:val="auto"/>
        </w:rPr>
      </w:pPr>
    </w:p>
    <w:p>
      <w:pPr>
        <w:ind w:left="4" w:right="160" w:hanging="4"/>
        <w:spacing w:after="0" w:line="250" w:lineRule="auto"/>
        <w:tabs>
          <w:tab w:leader="none" w:pos="2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obligations for property acquired and obligations in respect of Capital Lease Obligations, to the extent such obligations impose restrictions on the property so acquired, solely as permitted by, the terms of this Agreement, (O) any encumbrance or restriction arising or agreed to in the ordinary course of business, not relating to any Indebtedness, and that do not, individually or in the aggregate, (x) materially detract from the value of the property or assets of the Borrower and its Subsidiaries, taken as a whole, (y) materially detract from the value of the Collateral, taken as a whole or (z) materially and adversely affect the Borrower’s ability to make future principal or interest payments under this Agreement, in each case, as determined by the Borrower in good faith, and (P) any encumbrances or restrictions of the type referred to in the immediately preceding </w:t>
      </w:r>
      <w:r>
        <w:rPr>
          <w:rFonts w:ascii="Times New Roman" w:cs="Times New Roman" w:eastAsia="Times New Roman" w:hAnsi="Times New Roman"/>
          <w:sz w:val="18"/>
          <w:szCs w:val="18"/>
          <w:u w:val="single" w:color="auto"/>
          <w:color w:val="auto"/>
        </w:rPr>
        <w:t>clauses</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99" w:val="left"/>
        </w:tabs>
        <w:numPr>
          <w:ilvl w:val="0"/>
          <w:numId w:val="1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above imposed by any amendments, modifications, restatements, renewals, increases, supplements, refundings, replacements or refinancings of the contracts, instruments or obligations referred to such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not apply to restrictions or conditions imposed by any agreement relating to secured Indebtedness permitted by this Agreement if such restrictions or conditions apply only to the property or assets securing such Indebtedness, (ii)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not apply to customary provisions in leases and other contracts restricting the assignment thereof and (iii)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shall not apply to customary restrictions and conditions with respect to joint ventures.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70" w:right="459" w:bottom="1440" w:gutter="0" w:footer="0" w:header="0"/>
        </w:sectPr>
      </w:pPr>
    </w:p>
    <w:bookmarkStart w:id="138" w:name="page139"/>
    <w:bookmarkEnd w:id="138"/>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Junior Indebtedness and Amendments to Junior Indebtedness Documents and Organizational Documents.</w:t>
      </w:r>
    </w:p>
    <w:p>
      <w:pPr>
        <w:spacing w:after="0" w:line="225" w:lineRule="exact"/>
        <w:rPr>
          <w:sz w:val="20"/>
          <w:szCs w:val="20"/>
          <w:color w:val="auto"/>
        </w:rPr>
      </w:pPr>
    </w:p>
    <w:p>
      <w:pPr>
        <w:ind w:left="-40" w:firstLine="436"/>
        <w:spacing w:after="0" w:line="266" w:lineRule="auto"/>
        <w:tabs>
          <w:tab w:leader="none" w:pos="6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directly or indirectly voluntarily prepay, defease or in substance defease, purchase, redeem, retire or otherwise acquire, any Junior Indebtedness or any Indebtedness from time to time outstanding under the Junior Indebtedness Documents (any of the foregoing, a “</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other than each of the following:</w:t>
      </w:r>
    </w:p>
    <w:p>
      <w:pPr>
        <w:spacing w:after="0" w:line="67" w:lineRule="exact"/>
        <w:rPr>
          <w:rFonts w:ascii="Times New Roman" w:cs="Times New Roman" w:eastAsia="Times New Roman" w:hAnsi="Times New Roman"/>
          <w:sz w:val="18"/>
          <w:szCs w:val="18"/>
          <w:color w:val="auto"/>
        </w:rPr>
      </w:pPr>
    </w:p>
    <w:p>
      <w:pPr>
        <w:jc w:val="both"/>
        <w:ind w:left="400" w:firstLine="419"/>
        <w:spacing w:after="0" w:line="266" w:lineRule="auto"/>
        <w:tabs>
          <w:tab w:leader="none" w:pos="103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payments of principal, interest and fees (including any penalty interest, if applicable) and payments of fees, expenses and obligations as and when due (other than payments with respect to Junior Indebtedness that are prohibited by the intercreditor or subordination provisions thereof);</w:t>
      </w:r>
    </w:p>
    <w:p>
      <w:pPr>
        <w:spacing w:after="0" w:line="67" w:lineRule="exact"/>
        <w:rPr>
          <w:rFonts w:ascii="Times New Roman" w:cs="Times New Roman" w:eastAsia="Times New Roman" w:hAnsi="Times New Roman"/>
          <w:sz w:val="18"/>
          <w:szCs w:val="18"/>
          <w:color w:val="auto"/>
        </w:rPr>
      </w:pPr>
    </w:p>
    <w:p>
      <w:pPr>
        <w:ind w:left="400" w:firstLine="419"/>
        <w:spacing w:after="0" w:line="261" w:lineRule="auto"/>
        <w:tabs>
          <w:tab w:leader="none" w:pos="108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Debt Payments, together with any Restricted Payments incurred pursuant to </w:t>
      </w:r>
      <w:r>
        <w:rPr>
          <w:rFonts w:ascii="Times New Roman" w:cs="Times New Roman" w:eastAsia="Times New Roman" w:hAnsi="Times New Roman"/>
          <w:sz w:val="18"/>
          <w:szCs w:val="18"/>
          <w:u w:val="single" w:color="auto"/>
          <w:color w:val="auto"/>
        </w:rPr>
        <w:t>Section 6.08(e)</w:t>
      </w:r>
      <w:r>
        <w:rPr>
          <w:rFonts w:ascii="Times New Roman" w:cs="Times New Roman" w:eastAsia="Times New Roman" w:hAnsi="Times New Roman"/>
          <w:sz w:val="18"/>
          <w:szCs w:val="18"/>
          <w:color w:val="auto"/>
        </w:rPr>
        <w:t>, in an aggregate amount not to exceed the greater of $200,000,000 and 20.0% of Consolidated EBITDA for the most recently ended Test Period so long as prior to making such Restricted Debt Payments and immediately after giving effect (including giving effect on a pro forma basis) thereto no Event of Default has occurred and is continuing;</w:t>
      </w:r>
    </w:p>
    <w:p>
      <w:pPr>
        <w:spacing w:after="0" w:line="71" w:lineRule="exact"/>
        <w:rPr>
          <w:rFonts w:ascii="Times New Roman" w:cs="Times New Roman" w:eastAsia="Times New Roman" w:hAnsi="Times New Roman"/>
          <w:sz w:val="18"/>
          <w:szCs w:val="18"/>
          <w:color w:val="auto"/>
        </w:rPr>
      </w:pPr>
    </w:p>
    <w:p>
      <w:pPr>
        <w:ind w:left="400" w:right="40" w:firstLine="419"/>
        <w:spacing w:after="0" w:line="266" w:lineRule="auto"/>
        <w:tabs>
          <w:tab w:leader="none" w:pos="113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an aggregate amount not to exceed the Available Amount at such time so long as prior to making any such Restricted Debt Payment and after giving effect (including giving effect on a pro forma basis) thereto no Event of Default has occurred and is continuing;</w:t>
      </w:r>
    </w:p>
    <w:p>
      <w:pPr>
        <w:spacing w:after="0" w:line="67" w:lineRule="exact"/>
        <w:rPr>
          <w:rFonts w:ascii="Times New Roman" w:cs="Times New Roman" w:eastAsia="Times New Roman" w:hAnsi="Times New Roman"/>
          <w:sz w:val="18"/>
          <w:szCs w:val="18"/>
          <w:color w:val="auto"/>
        </w:rPr>
      </w:pPr>
    </w:p>
    <w:p>
      <w:pPr>
        <w:ind w:left="400" w:right="80" w:firstLine="419"/>
        <w:spacing w:after="0" w:line="266" w:lineRule="auto"/>
        <w:tabs>
          <w:tab w:leader="none" w:pos="112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Debt Payments so long so long as prior to making such Restricted Debt Payment and immediately after giving effect (including giving effect on a pro forma basis) thereto (i) no Event of Default has occurred and is continuing and (ii) the Total Net Leverage Ratio does not exceed 3.25 to 1.00;</w:t>
      </w:r>
    </w:p>
    <w:p>
      <w:pPr>
        <w:spacing w:after="0" w:line="67" w:lineRule="exact"/>
        <w:rPr>
          <w:rFonts w:ascii="Times New Roman" w:cs="Times New Roman" w:eastAsia="Times New Roman" w:hAnsi="Times New Roman"/>
          <w:sz w:val="18"/>
          <w:szCs w:val="18"/>
          <w:color w:val="auto"/>
        </w:rPr>
      </w:pPr>
    </w:p>
    <w:p>
      <w:pPr>
        <w:ind w:left="400" w:right="60" w:firstLine="419"/>
        <w:spacing w:after="0" w:line="282" w:lineRule="auto"/>
        <w:tabs>
          <w:tab w:leader="none" w:pos="107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respect of any Junior Indebtedness with the proceeds of any Permitted Refinancing Indebtedness in respect thereof; and</w:t>
      </w:r>
    </w:p>
    <w:p>
      <w:pPr>
        <w:spacing w:after="0" w:line="53" w:lineRule="exact"/>
        <w:rPr>
          <w:rFonts w:ascii="Times New Roman" w:cs="Times New Roman" w:eastAsia="Times New Roman" w:hAnsi="Times New Roman"/>
          <w:sz w:val="18"/>
          <w:szCs w:val="18"/>
          <w:color w:val="auto"/>
        </w:rPr>
      </w:pPr>
    </w:p>
    <w:p>
      <w:pPr>
        <w:ind w:left="400" w:right="40" w:firstLine="419"/>
        <w:spacing w:after="0" w:line="253" w:lineRule="auto"/>
        <w:tabs>
          <w:tab w:leader="none" w:pos="112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Permitted Convertible Debt, (i) Restricted Debt Payments made or settled in Equity Interests (other than Disqualified Equity) of the Borrower, cash in lieu of fractional shares and cash in respect of accrued and unpaid interest, (ii) payments and deliveries due upon conversion thereof (subject to the provisions of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payment of cash upon such conversion (excluding cash in lieu of fractional shares and cash in respect of accrued and unpaid interest) does not exceed the principal amount of such Permitted Convertible Debt being converted plus any proceeds received by the Borrower or a Subsidiary pursuant to the exercise, settlement or termination of any related Permitted Bond Hedge Transaction, (iii) the redemption, purchase, exchange, early termination or cancellation of Permitted Convertible Debt in an aggregate principal amount not to exceed the Net Proceeds received by the Borrower from the issuance of additional Permitted Convertible Debt or Equity Interests (other than Disqualified Equity) in connection with a refinancing of the Permitted Convertible Debt being redeemed, purchased, exchanged, terminated or cancelled, and (iv) the exchange of Permitted Convertible Debt for additional Permitted Convertible Debt and/or Equity Interests (other than Disqualified Equity), together with cash in lieu of fractional shares and cash in respect of accrued and unpaid interest.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20"/>
          </w:cols>
          <w:pgMar w:left="480" w:top="270" w:right="499" w:bottom="1440" w:gutter="0" w:footer="0" w:header="0"/>
        </w:sectPr>
      </w:pPr>
    </w:p>
    <w:bookmarkStart w:id="139" w:name="page140"/>
    <w:bookmarkEnd w:id="139"/>
    <w:p>
      <w:pPr>
        <w:ind w:firstLine="436"/>
        <w:spacing w:after="0" w:line="255" w:lineRule="auto"/>
        <w:tabs>
          <w:tab w:leader="none" w:pos="69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Furthermore, the Borrower will not, nor will it permit any Subsidiary to, amend, modify or waive any provision of (x) any of its organizational documents (other than a change in registered agents) if such amendment, modification or waiver would be materially adverse to the Lenders or would otherwise breach any provision of the Loan Documents, (y) the Junior Indebtedness Documents (or any replacements, substitutions, extensions or renewals thereof) pursuant to which any Permitted Convertible Debt is issued that would result in such Permitted Convertible Debt no longer constituting Permitted Convertible Debt or (z) the Junior Indebtedness Documents (or any replacements, substitutions, extensions or renewals thereof) pursuant to which such Indebtedness (other than Permitted Convertible Debt) is issued, where in the case of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such amendment, modification or waiver provides for the following or which has any of the following effects:</w:t>
      </w:r>
    </w:p>
    <w:p>
      <w:pPr>
        <w:spacing w:after="0" w:line="80"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the overall principal amount of any such Indebtedness (except through payments-in-kind), except any such increase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shortens or accelerates the date upon which any installment of principal or interest becomes due, increases the amount of any single scheduled installment of principal or interest or adds any additional mandatory redemption provisions, in each case, in a manner that would not have been permitted at the time of incurrence of such Indebtedness; or</w:t>
      </w:r>
    </w:p>
    <w:p>
      <w:pPr>
        <w:spacing w:after="0" w:line="67"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7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shortens the final maturity date of such Indebtedness or otherwise accelerates the amortization schedule with respect to such Indebtedness, in each case, in a manner that would not have been permitted at the time of incurrence of such Indebtedness.</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xml:space="preserve">. The Borrower will not, nor will it permit any Subsidiary to, enter into any Sale and Leaseback Transaction, unless (a) the Disposition of the property thereunder is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(b) any Liens arising in connection therewith (including Liens deemed to arise in connection with any such Capital Lease Obligations and obligations under Synthetic Leases) are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For the avoidance of doubt, the Designated Property Sale and Leaseback is expressly permitted and shall not be subject to any requirements or conditions hereunder beyond those set forth in the definition of “Designated Property Sale and Leaseback” and other provisions of this Agreement expressly applicable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Financial Covenants.</w:t>
      </w:r>
    </w:p>
    <w:p>
      <w:pPr>
        <w:spacing w:after="0" w:line="225" w:lineRule="exact"/>
        <w:rPr>
          <w:sz w:val="20"/>
          <w:szCs w:val="20"/>
          <w:color w:val="auto"/>
        </w:rPr>
      </w:pPr>
    </w:p>
    <w:p>
      <w:pPr>
        <w:jc w:val="both"/>
        <w:ind w:right="220" w:firstLine="436"/>
        <w:spacing w:after="0" w:line="266" w:lineRule="auto"/>
        <w:tabs>
          <w:tab w:leader="none" w:pos="68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Total Net Leverage Ratio</w:t>
      </w:r>
      <w:r>
        <w:rPr>
          <w:rFonts w:ascii="Times New Roman" w:cs="Times New Roman" w:eastAsia="Times New Roman" w:hAnsi="Times New Roman"/>
          <w:sz w:val="18"/>
          <w:szCs w:val="18"/>
          <w:color w:val="auto"/>
        </w:rPr>
        <w:t xml:space="preserve">. The Borrower will not permit the Total Net Leverage Ratio, determined as of the last day of any fiscal quarter of the Borrower ended after the Effective Date to be greater than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a Covenant Holiday Period, the foregoing threshold shall be increased to 4.25 to 1.00.</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Consolidated Interest Coverage Ratio</w:t>
      </w:r>
      <w:r>
        <w:rPr>
          <w:rFonts w:ascii="Times New Roman" w:cs="Times New Roman" w:eastAsia="Times New Roman" w:hAnsi="Times New Roman"/>
          <w:sz w:val="18"/>
          <w:szCs w:val="18"/>
          <w:color w:val="auto"/>
        </w:rPr>
        <w:t>. The Borrower will not permit the Consolidated Interest Coverage Ratio, determined as of the last day of any fiscal quarter of the Borrower ended after the Effective Date to be less than 2.00 to 1.00.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60"/>
          </w:cols>
          <w:pgMar w:left="440" w:top="270" w:right="49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right="140" w:firstLine="436"/>
        <w:spacing w:after="0" w:line="266"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payable under this Agreement or any other Loan Document, when and as the same shall become due and payable and in the Agreed Currency required hereunder, and such failure shall continue unremedied for a period of five Business Days;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w:t>
      </w:r>
    </w:p>
    <w:p>
      <w:pPr>
        <w:spacing w:after="0" w:line="183" w:lineRule="exact"/>
        <w:rPr>
          <w:rFonts w:ascii="Times New Roman" w:cs="Times New Roman" w:eastAsia="Times New Roman" w:hAnsi="Times New Roman"/>
          <w:sz w:val="18"/>
          <w:szCs w:val="18"/>
          <w:color w:val="auto"/>
        </w:rPr>
      </w:pPr>
    </w:p>
    <w:p>
      <w:pPr>
        <w:ind w:right="840" w:firstLine="436"/>
        <w:spacing w:after="0" w:line="282"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fail to observe or perform any covenant, condition or agreement applicable to it (or its Subsidiaries, to the extent applicable) contained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(solely with respect to the Borrower’s existence)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Subsidiary Guarantor, as applicable, shall fail to observe or perform any covenant, condition or agreement applicable to it contained in this Agreement (other than those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any other Loan Document, and such failure shall continue unremedied for a period of 30 days after written notice thereof from the Administrative Agent to the Borrower (which notice will be given at the request of the Required Lenders);</w:t>
      </w:r>
    </w:p>
    <w:p>
      <w:pPr>
        <w:spacing w:after="0" w:line="179" w:lineRule="exact"/>
        <w:rPr>
          <w:rFonts w:ascii="Times New Roman" w:cs="Times New Roman" w:eastAsia="Times New Roman" w:hAnsi="Times New Roman"/>
          <w:sz w:val="18"/>
          <w:szCs w:val="18"/>
          <w:color w:val="auto"/>
        </w:rPr>
      </w:pPr>
    </w:p>
    <w:p>
      <w:pPr>
        <w:ind w:right="120" w:firstLine="436"/>
        <w:spacing w:after="0" w:line="255" w:lineRule="auto"/>
        <w:tabs>
          <w:tab w:leader="none" w:pos="6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Subsidiary shall fail to make any payment (whether of principal or interest and regardless of amount) in respect of any Material Indebtedness (other than obligations in respect of Swap Agreements) of the Borrower or such Subsidiary, as applicable, when and as the same shall become due and payable, which is not cured within any applicable grace period provided for in the applicable agreement or instrument under which such Indebtedness was created;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that secured Indebtedness that becomes due as a result of the voluntary sale or transfer of the property or assets securing such Indebtedness, in each case, shall not constitute an Event of Default under this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continue only so long as the applicable event or condition constituting such Event of Default is not waived or rescinded or deemed cured by the holders of such Indebtedness;</w:t>
      </w:r>
    </w:p>
    <w:p>
      <w:pPr>
        <w:spacing w:after="0" w:line="188"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Borrower or any Subsidiary fails to observe or perform any agreement or condition (other than payment obligations) that results in any Material Indebtedness (other than obligations in respect of Swap Agreements)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or (y) there occurs under any Swap Agreement constituting Material Indebtedness an Early Termination Date (as defined in such Swap Agreement) resulting from (A) any event of default under such Swap Agreement as to which a Loan Party or any Subsidiary thereof is the Defaulting Party (as defined in such Swap Agreement) or (B) any Termination Event (as so defined) under such Swap Agreement as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66" w:right="459" w:bottom="1440" w:gutter="0" w:footer="0" w:header="0"/>
        </w:sectPr>
      </w:pPr>
    </w:p>
    <w:bookmarkStart w:id="141" w:name="page142"/>
    <w:bookmarkEnd w:id="14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which a Loan Party or any Subsidiary thereof is an Affected Party (as so defined) and, in either event, the amount owed by such Loan Party or such Subsidiary as a result thereof is greater than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and (v) the occurrence of any event that permits holders of any Permitted Convertible Debt or Material Indebtedness constituting convertible Indebtedness to convert such Indebtedness or the conversion of Permitted Convertible Debt or Material Indebtedness constituting convertible Indebtedness, in either case, into Equity Interests (other than Disqualified Equity) of the Borrower (or other securities or property following a merger event, reclassification or other change of the capital stock of the Borrower), cash or a combination thereof (and any termination of any related Swap Agreement or other hedging instrument);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 Event of Default under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continue only so long as the applicable event or condition constituting such Event of Default is not waived, or rescinded or deemed cured by the holders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apply to any early payment requirement or unwinding or termination with respect to any Permitted Bond Hedge Transaction or Permitted Warrant Transaction, or satisfaction of any condition giving rise to or permitting the foregoing, in accordance with the terms thereof, so long as, in any such case, Borrower or the applicable Loan Party is not the “defaulting party” or “affected party” (or substantially equivalent term) under the terms of such Permitted Bond Hedge Transaction or Permitted Warrant Transaction, as applicable; or</w:t>
      </w:r>
    </w:p>
    <w:p>
      <w:pPr>
        <w:spacing w:after="0" w:line="189" w:lineRule="exact"/>
        <w:rPr>
          <w:sz w:val="20"/>
          <w:szCs w:val="20"/>
          <w:color w:val="auto"/>
        </w:rPr>
      </w:pPr>
    </w:p>
    <w:p>
      <w:pPr>
        <w:ind w:right="20" w:firstLine="436"/>
        <w:spacing w:after="0" w:line="255" w:lineRule="auto"/>
        <w:tabs>
          <w:tab w:leader="none" w:pos="6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winding-up, reorganization, moratorium or other relief in respect of the Borrower or any Material Subsidiary or its debts, or of a substantial part of its assets, under any federal, state or foreign bankruptcy, insolvency, administration, receivership, administrative receivership, scheme or arrangement, restructuring plan or similar law or regulation now or hereafter in effect or a moratorium in respect of any Indebtedness of the Borrower or any Material Subsidiary or (ii) the appointment of a receiver, administrator, administrative receiver, liquidator, trustee, custodian, sequestrator, conservator or similar official for the Borrower or any Material Subsidiary or for a substantial part of its assets, and, in any such case, such proceeding or petition shall continue undismissed for 60 days or an order or decree approving or ordering any of the foregoing shall be entered;</w:t>
      </w:r>
    </w:p>
    <w:p>
      <w:pPr>
        <w:spacing w:after="0" w:line="188" w:lineRule="exact"/>
        <w:rPr>
          <w:rFonts w:ascii="Times New Roman" w:cs="Times New Roman" w:eastAsia="Times New Roman" w:hAnsi="Times New Roman"/>
          <w:sz w:val="18"/>
          <w:szCs w:val="18"/>
          <w:color w:val="auto"/>
        </w:rPr>
      </w:pPr>
    </w:p>
    <w:p>
      <w:pPr>
        <w:ind w:right="20" w:firstLine="436"/>
        <w:spacing w:after="0" w:line="256" w:lineRule="auto"/>
        <w:tabs>
          <w:tab w:leader="none" w:pos="6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80"/>
          </w:cols>
          <w:pgMar w:left="440" w:top="270" w:right="479" w:bottom="1440" w:gutter="0" w:footer="0" w:header="0"/>
        </w:sectPr>
      </w:pPr>
    </w:p>
    <w:bookmarkStart w:id="142" w:name="page143"/>
    <w:bookmarkEnd w:id="142"/>
    <w:p>
      <w:pPr>
        <w:ind w:right="200" w:firstLine="436"/>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or any Material Subsidiary shall become generally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right="220" w:firstLine="436"/>
        <w:spacing w:after="0" w:line="261"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$100,000,000 (to the extent not paid, fully bonded or covered (other than customary deductibles) by a solvent and unaffiliated insurer that has not denied coverage) shall be rendered against the Borrower, any Subsidiary or any combination thereof and the same shall remain undischarged, unvacated or undismissed for a period of 60 consecutive days during which execution shall not be effectively stayed (by reason of pending appeal or otherwise);</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material provision of any Loan Document (subject to the Legal Reservations), at any time after its execution and delivery and for any reason other than as expressly permitted hereunder or thereunder, satisfaction in full of all Secured Obligations, or solely resulting from any action taken by the Administrative Agent or the Lenders, ceases to be in full force and effect; or (ii) a Loan Party contests in writing the validity or enforceability of any provision of any Loan Document for any reason; or a Loan Party denies in writing that it has any or further liability or obligation under any Loan Document, or purports in writing to revoke, terminate or rescind any Loan Document, in each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for any reason other than as expressly permitted hereunder or thereunder (including as a result of a transaction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w:t>
      </w:r>
    </w:p>
    <w:p>
      <w:pPr>
        <w:spacing w:after="0" w:line="187"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Collateral Document, after execution thereof, shall for any reason fail to create a valid and perfected first priority security interest in any material portion of the Collateral purported to be covered thereby (subject to Liens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6.02 to be prior and superior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to the Liens under the Collateral Documents), except as permitted by the terms of any Loan Document (including as a result of a transaction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as a result of (A) the Administrative Agent no longer having possession of any stock certificates, promissory notes or other instruments delivered to it under the Collateral Documents, or (B) as a result of a UCC filing having lapsed because a UCC continuation or amendment statement was not filed in a timely manner.</w:t>
      </w:r>
    </w:p>
    <w:p>
      <w:pPr>
        <w:spacing w:after="0" w:line="18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Remedies Upon an Event of Default</w:t>
      </w:r>
      <w:r>
        <w:rPr>
          <w:rFonts w:ascii="Times New Roman" w:cs="Times New Roman" w:eastAsia="Times New Roman" w:hAnsi="Times New Roman"/>
          <w:sz w:val="18"/>
          <w:szCs w:val="18"/>
          <w:color w:val="auto"/>
        </w:rPr>
        <w:t xml:space="preserve">. If an Event of Default occurs (other than an event with respect to the Borrower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72" w:lineRule="exact"/>
        <w:rPr>
          <w:sz w:val="20"/>
          <w:szCs w:val="20"/>
          <w:color w:val="auto"/>
        </w:rPr>
      </w:pPr>
    </w:p>
    <w:p>
      <w:pPr>
        <w:ind w:left="680" w:hanging="244"/>
        <w:spacing w:after="0"/>
        <w:tabs>
          <w:tab w:leader="none" w:pos="6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Commitments, and thereupon the Commitments shall terminate immediately;</w:t>
      </w:r>
    </w:p>
    <w:p>
      <w:pPr>
        <w:spacing w:after="0" w:line="225" w:lineRule="exact"/>
        <w:rPr>
          <w:rFonts w:ascii="Times New Roman" w:cs="Times New Roman" w:eastAsia="Times New Roman" w:hAnsi="Times New Roman"/>
          <w:sz w:val="18"/>
          <w:szCs w:val="18"/>
          <w:color w:val="auto"/>
        </w:rPr>
      </w:pPr>
    </w:p>
    <w:p>
      <w:pPr>
        <w:ind w:right="200" w:firstLine="436"/>
        <w:spacing w:after="0" w:line="258"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any other Loan Document, shall become due and payable immediately, without presentment, demand, protest or other notice of any kind, all of which are hereby waived by the Borrower and the other Loan Parties;</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that the Borrower provide cash collateral as required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80"/>
          </w:cols>
          <w:pgMar w:left="440" w:top="270" w:right="47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exercise on behalf of itself and the Lenders all rights and remedies available to it and the Lenders under the Loan Documents and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 Event of Default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7.01(j)</w:t>
      </w:r>
      <w:r>
        <w:rPr>
          <w:rFonts w:ascii="Times New Roman" w:cs="Times New Roman" w:eastAsia="Times New Roman" w:hAnsi="Times New Roman"/>
          <w:sz w:val="18"/>
          <w:szCs w:val="18"/>
          <w:color w:val="auto"/>
        </w:rPr>
        <w:t xml:space="preserve"> occurs with respect to the Borrower, the Commitments shall automatically terminate and the principal of the Loans then outstanding and cash collateral for the LC Exposure, together with accrued interest thereon and all fees and other Secured Obligations accrued hereunder and under any other Loan Document, shall automatically become due and payable, and the obligation of the Borrower to cash collateralize the LC Exposure as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shall automatically become effective, in each case, without presentment, demand, protest or other notice of any kind, all of which are hereby waived by the Borrower.</w:t>
      </w:r>
    </w:p>
    <w:p>
      <w:pPr>
        <w:spacing w:after="0" w:line="18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after deducting all reasonable and documented out-of-pocket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Secured Obligations, in such order as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ten (10) days before such sale or other disposition.</w:t>
      </w:r>
    </w:p>
    <w:p>
      <w:pPr>
        <w:spacing w:after="0" w:line="20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Notwithstanding anything herein to the contrary, following the occurrence and during the continuance of an Event of Default, and notice thereof to the Administrative Agent by the Borrower or the Required Lenders, all payments received on account of the Secured Obligations shall,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2.21, be applied by the Administrative Agent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44" w:name="page145"/>
    <w:bookmarkEnd w:id="144"/>
    <w:p>
      <w:pPr>
        <w:ind w:right="500" w:firstLine="436"/>
        <w:spacing w:after="0" w:line="266"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w:t>
      </w:r>
      <w:r>
        <w:rPr>
          <w:rFonts w:ascii="Times New Roman" w:cs="Times New Roman" w:eastAsia="Times New Roman" w:hAnsi="Times New Roman"/>
          <w:sz w:val="18"/>
          <w:szCs w:val="18"/>
          <w:color w:val="auto"/>
        </w:rPr>
        <w:t xml:space="preserve">, to payment of that portion of the Secured Obligations constituting fees, indemnities, expenses and other amounts payable to the Administrative Agent (including fees and disbursements and other charges of counsel to the Administrative Agent payable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amounts pursuant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payable to the Administrative Agent in its capacity as such);</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Secured Obligations constituting fees, expenses, indemnities and other amounts (other than principal, reimbursement obligations in respect of LC Disbursements, interest and Letter of Credit fees) payable to the Lenders, the Issuing Banks and the other Secured Parties (including fees and disbursements and other charges of counsel to the Lenders and the Issuing Banks payable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arising under the Loan Documents, ratably among them in proportion to the respective amounts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payable to them;</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 to payment of that portion of the Secured Obligations constituting unpaid principal of the Loans and unreimbursed LC</w:t>
      </w:r>
    </w:p>
    <w:p>
      <w:pPr>
        <w:spacing w:after="0" w:line="27" w:lineRule="exact"/>
        <w:rPr>
          <w:rFonts w:ascii="Times New Roman" w:cs="Times New Roman" w:eastAsia="Times New Roman" w:hAnsi="Times New Roman"/>
          <w:sz w:val="18"/>
          <w:szCs w:val="18"/>
          <w:color w:val="auto"/>
        </w:rPr>
      </w:pPr>
    </w:p>
    <w:p>
      <w:pPr>
        <w:ind w:right="2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Disbursements, (B) to cash collateralize that portion of LC Exposure comprising the undrawn amount of Letters of Credit to the extent not otherwise cash collateralized by the Borrower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amounts applied pursuant to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above shall be paid to the Administrative Agent for the account of the Issuing Banks to cash collateralize Secured Obligations in respect of Letters of Credit, (y)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amounts used to cash collateralize the aggregate amount of Letters of Credit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used to satisfy drawings under such Letters of Credit as they occur and (z) upon the expiration of any Letter of Credit (without any pending drawings), the pro rata share of cash collateral shall be distributed to the other Secured Obligations, if any, in the order set forth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(C) to any other amounts owing with respect to Banking Services Obligations and Swap Obligations, in each case, ratably among the Lenders and the Issuing Banks and any other applicable Secured Parties in proportion to the respective amounts described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payable to them;</w:t>
      </w:r>
    </w:p>
    <w:p>
      <w:pPr>
        <w:spacing w:after="0" w:line="193"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in full of all other Secured Obligations, in each case ratably among the Administrative Agent, the Lenders, the Issuing Banks and the other Secured Parties based upon the respective aggregate amounts of all such Secured Obligations owing to them in accordance with the respective amounts thereof then due and payable;</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the balance, if any, after all Secured Obligations have been paid in full, to the Borrower or as otherwise required by law.</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440" w:top="270" w:right="4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Banks,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3"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 Administrative Agent is acting solely on behalf of the Lenders and the Issuing Banks and (except in limited circumstances expressly provided for herein relating to the maintenance of the Register), and its duties are entirely mechanical and administrative in nature. Without limiting the generality of the foregoing:</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assume and shall not be deemed to have assumed any obligation or duty or any other relationship as the agent, fiduciary or trustee of or for any Lender, any Issuing Bank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66" w:right="459" w:bottom="1440" w:gutter="0" w:footer="0" w:header="0"/>
        </w:sectPr>
      </w:pPr>
    </w:p>
    <w:bookmarkStart w:id="146" w:name="page147"/>
    <w:bookmarkEnd w:id="146"/>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72" w:lineRule="exact"/>
        <w:rPr>
          <w:sz w:val="20"/>
          <w:szCs w:val="20"/>
          <w:color w:val="auto"/>
        </w:rPr>
      </w:pPr>
    </w:p>
    <w:p>
      <w:pPr>
        <w:ind w:left="440" w:right="80" w:firstLine="419"/>
        <w:spacing w:after="0" w:line="261" w:lineRule="auto"/>
        <w:tabs>
          <w:tab w:leader="none" w:pos="1128"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Administrative Agent is required or deemed to act as a trustee in respect of any Collateral over which a security interest has been created pursuant to a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Arranger, Co-Syndication Agent or Co-Documentation Agent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07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allowed in such judicial proceeding;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147" w:name="page148"/>
    <w:bookmarkEnd w:id="14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Nothing contained herein shall be deemed to authorize the Administrative Agent to authorize or consent to or accept or adopt on behalf of any Lender or any Issuing Bank any plan of reorganization, arrangement, adjustment or composition affecting the Secured Obligations or the rights of any Lender or any Issuing Bank or to authorize the Administrative Agent to vote in respect of the claim of any Lender or any Issuing Bank in any such proceeding.</w:t>
      </w:r>
    </w:p>
    <w:p>
      <w:pPr>
        <w:spacing w:after="0" w:line="189" w:lineRule="exact"/>
        <w:rPr>
          <w:sz w:val="20"/>
          <w:szCs w:val="20"/>
          <w:color w:val="auto"/>
        </w:rPr>
      </w:pPr>
    </w:p>
    <w:p>
      <w:pPr>
        <w:ind w:right="20" w:firstLine="436"/>
        <w:spacing w:after="0" w:line="258"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the Lenders and the Issuing Banks, and, except solely to the extent of the Borrower’s rights to consent pursuant to and subject to the conditions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Agent’s Reliance, Limitation of Liability, etc..</w:t>
      </w:r>
    </w:p>
    <w:p>
      <w:pPr>
        <w:spacing w:after="0" w:line="225" w:lineRule="exact"/>
        <w:rPr>
          <w:sz w:val="20"/>
          <w:szCs w:val="20"/>
          <w:color w:val="auto"/>
        </w:rPr>
      </w:pPr>
    </w:p>
    <w:p>
      <w:pPr>
        <w:ind w:right="20" w:firstLine="436"/>
        <w:spacing w:after="0" w:line="253"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be deemed not to have knowledge of any (i) notice of any of the events or circumstances set forth or described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48" w:name="page149"/>
    <w:bookmarkEnd w:id="1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Issuing Bank, or any exchange rate or Dollar Equivalent.</w:t>
      </w:r>
    </w:p>
    <w:p>
      <w:pPr>
        <w:spacing w:after="0" w:line="187" w:lineRule="exact"/>
        <w:rPr>
          <w:sz w:val="20"/>
          <w:szCs w:val="20"/>
          <w:color w:val="auto"/>
        </w:rPr>
      </w:pPr>
    </w:p>
    <w:p>
      <w:pPr>
        <w:ind w:firstLine="436"/>
        <w:spacing w:after="0" w:line="253"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(ii) may rely on the Register to the extent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24"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Administrative Agent may, but shall not be obligated to, make any Communications available to the Lenders and the Issuing Banks by posting the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Lenders and the Issuing Banks agree that, pursuant to procedures approved by the Administrative Agent, the Borrower may, but shall not be obligated to, make any Communications to the Administrative Agent through an Approved Electronic Platform.</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440" w:top="270" w:right="479" w:bottom="1440" w:gutter="0" w:footer="0" w:header="0"/>
        </w:sectPr>
      </w:pPr>
    </w:p>
    <w:bookmarkStart w:id="149" w:name="page150"/>
    <w:bookmarkEnd w:id="149"/>
    <w:p>
      <w:pPr>
        <w:ind w:right="40" w:firstLine="436"/>
        <w:spacing w:after="0" w:line="253"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COMMUNICATIONS OR THE APPROVED ELECTRONIC PLATFORM. IN NO EVENT SHALL THE ADMINISTRATIVE AGENT, ANY ARRANGER, ANY CO-DOCUMENTATION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or Issuing Bank for purposes of the Loan Documents. Each Lender and each Issuing Bank agrees (i) to notify the Administrative Agent in writing (which could be in the form of electronic communication) from time to time of such Lender’s or such Issuing Bank’s email address to which the foregoing notice may be sent by electronic transmission and (ii) that the foregoing notice may be sent to such email address.</w:t>
      </w:r>
    </w:p>
    <w:p>
      <w:pPr>
        <w:spacing w:after="0" w:line="183"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1080" w:firstLine="436"/>
        <w:spacing w:after="0" w:line="282"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Commitments,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an Issuing Bank or as one of the Required Lenders.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50" w:name="page151"/>
    <w:bookmarkEnd w:id="15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Successor Administrative Agent.</w:t>
      </w:r>
    </w:p>
    <w:p>
      <w:pPr>
        <w:spacing w:after="0" w:line="225" w:lineRule="exact"/>
        <w:rPr>
          <w:sz w:val="20"/>
          <w:szCs w:val="20"/>
          <w:color w:val="auto"/>
        </w:rPr>
      </w:pPr>
    </w:p>
    <w:p>
      <w:pPr>
        <w:ind w:left="4" w:firstLine="436"/>
        <w:spacing w:after="0" w:line="253" w:lineRule="auto"/>
        <w:tabs>
          <w:tab w:leader="none" w:pos="68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7"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all payments required to be made hereunder or under any other Loan Document to the Administrative Agent for the account of any Person other than the Administrative Agent shall be made directly to such Person and</w:t>
      </w:r>
    </w:p>
    <w:p>
      <w:pPr>
        <w:spacing w:after="0" w:line="9" w:lineRule="exact"/>
        <w:rPr>
          <w:rFonts w:ascii="Times New Roman" w:cs="Times New Roman" w:eastAsia="Times New Roman" w:hAnsi="Times New Roman"/>
          <w:sz w:val="17"/>
          <w:szCs w:val="17"/>
          <w:color w:val="auto"/>
        </w:rPr>
      </w:pPr>
    </w:p>
    <w:p>
      <w:pPr>
        <w:ind w:left="4" w:right="60" w:hanging="4"/>
        <w:spacing w:after="0" w:line="252" w:lineRule="auto"/>
        <w:tabs>
          <w:tab w:leader="none" w:pos="28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64"/>
          </w:cols>
          <w:pgMar w:left="436" w:top="270" w:right="499" w:bottom="1440" w:gutter="0" w:footer="0" w:header="0"/>
        </w:sectPr>
      </w:pPr>
    </w:p>
    <w:bookmarkStart w:id="151" w:name="page152"/>
    <w:bookmarkEnd w:id="1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8.06 </w:t>
      </w:r>
      <w:r>
        <w:rPr>
          <w:rFonts w:ascii="Times New Roman" w:cs="Times New Roman" w:eastAsia="Times New Roman" w:hAnsi="Times New Roman"/>
          <w:sz w:val="18"/>
          <w:szCs w:val="18"/>
          <w:u w:val="single" w:color="auto"/>
          <w:color w:val="auto"/>
        </w:rPr>
        <w:t>Acknowledgements of Lenders and Issuing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represents and warrants that (i) the Loan Documents set forth the terms of a commercial lending facility,</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participating as a Lender or Issuing Bank, it is engaged in making, acquiring or holding commercial loans and in providing other facilities set forth herein as may be applicable to such Lender or Issuing Bank, in each case in the ordinary course of business, and not for the purpose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Co-Documentation Agent, any other Lender or any Issuing Bank, or any of the Related Parties of any of the foregoing, and based on such documents and information as it has deemed appropriate, made its own credit analysis and decision to enter into this Agreement as a Lender or an Issuing Bank, as applicable, and to make, acquire or hold Loans or participations in Letters of Credit hereunder or issue Letters of Credit hereunder, as applicable, and (iv) it is sophisticated with respect to decisions to make, acquire and/or hold commercial loans and to provide other facilities set forth herein, as may be applicable to such Lender or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Co-Documentation Agent, any other Lender or any Issuing Bank, or any of the Related Parties of any of the foregoing, and based on such documents and information (which may contain material, non-public information within the meaning of the United States securities laws concerning the Borrower and the Borrower’s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0"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9"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8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 xml:space="preserve"> shall be conclusive, absent manifest error.</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4"/>
          </w:cols>
          <w:pgMar w:left="436" w:top="270" w:right="479" w:bottom="1440" w:gutter="0" w:footer="0" w:header="0"/>
        </w:sectPr>
      </w:pPr>
    </w:p>
    <w:bookmarkStart w:id="152" w:name="page153"/>
    <w:bookmarkEnd w:id="152"/>
    <w:p>
      <w:pPr>
        <w:ind w:left="4" w:right="20" w:firstLine="436"/>
        <w:spacing w:after="0" w:line="253" w:lineRule="auto"/>
        <w:tabs>
          <w:tab w:leader="none" w:pos="69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the Borrower or any other Loan Party.</w:t>
      </w:r>
    </w:p>
    <w:p>
      <w:pPr>
        <w:spacing w:after="0" w:line="179"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6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8.06(f)</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67" w:lineRule="auto"/>
        <w:tabs>
          <w:tab w:leader="none" w:pos="689"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with respect to the exercise of setoff rights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and the Administrative Agent agrees, to release any Lien granted to or held by the Administrative Agent upon any Collateral (i) as described in </w:t>
      </w:r>
      <w:r>
        <w:rPr>
          <w:rFonts w:ascii="Times New Roman" w:cs="Times New Roman" w:eastAsia="Times New Roman" w:hAnsi="Times New Roman"/>
          <w:sz w:val="17"/>
          <w:szCs w:val="17"/>
          <w:u w:val="single" w:color="auto"/>
          <w:color w:val="auto"/>
        </w:rPr>
        <w:t>Section 9.02(d)</w:t>
      </w:r>
      <w:r>
        <w:rPr>
          <w:rFonts w:ascii="Times New Roman" w:cs="Times New Roman" w:eastAsia="Times New Roman" w:hAnsi="Times New Roman"/>
          <w:sz w:val="17"/>
          <w:szCs w:val="17"/>
          <w:color w:val="auto"/>
        </w:rPr>
        <w:t>;</w:t>
      </w:r>
    </w:p>
    <w:p>
      <w:pPr>
        <w:spacing w:after="0" w:line="5" w:lineRule="exact"/>
        <w:rPr>
          <w:rFonts w:ascii="Times New Roman" w:cs="Times New Roman" w:eastAsia="Times New Roman" w:hAnsi="Times New Roman"/>
          <w:sz w:val="17"/>
          <w:szCs w:val="17"/>
          <w:color w:val="auto"/>
        </w:rPr>
      </w:pPr>
    </w:p>
    <w:p>
      <w:pPr>
        <w:ind w:left="4" w:hanging="4"/>
        <w:spacing w:after="0" w:line="269" w:lineRule="auto"/>
        <w:tabs>
          <w:tab w:leader="none" w:pos="269"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to any Person other than a Loan Party which is permitted pursuant to the terms of any Loan Document (as certified by the Borrower (and the Administrative Agent may rely conclusively on any such certificate, without further inquiry)), or consented to in writing by the Required Lenders or all of the Lenders, as applicable, and upon at least three Business Days’ prior written request by the Borrower to the Administrative Agent (or such later date as may be reasonably agreed upon by the Administrative Agent), the Administrative Agent shall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4"/>
          </w:cols>
          <w:pgMar w:left="436" w:top="270" w:right="459" w:bottom="1440" w:gutter="0" w:footer="0" w:header="0"/>
        </w:sectPr>
      </w:pPr>
    </w:p>
    <w:bookmarkStart w:id="153" w:name="page154"/>
    <w:bookmarkEnd w:id="15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is hereby irrevocably authorized by the Lenders to), at the Borrower’s expense, execute such documents as may be necessary to evidence the release of the Liens granted to the Administrative Agent for the benefit of the Secured Parties herein or pursuant hereto upon the Collateral that was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Loan Parties in respect of) all interests retained by any Loan Party,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2" w:lineRule="exact"/>
        <w:rPr>
          <w:sz w:val="20"/>
          <w:szCs w:val="20"/>
          <w:color w:val="auto"/>
        </w:rPr>
      </w:pPr>
    </w:p>
    <w:p>
      <w:pPr>
        <w:ind w:right="60" w:firstLine="436"/>
        <w:spacing w:after="0" w:line="256"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7"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54" w:name="page155"/>
    <w:bookmarkEnd w:id="15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61"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becomes a Lender party hereto and (y) covenants, from the date such Person becomes a Lender party hereto, to the date such Person ceases being a Lender party hereto, for the benefit of, the Administrative Agent, the Arrangers, the Co-Documentation Agents and their respective Affiliates,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56" w:lineRule="auto"/>
        <w:tabs>
          <w:tab w:leader="none" w:pos="112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7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155" w:name="page156"/>
    <w:bookmarkEnd w:id="155"/>
    <w:p>
      <w:pPr>
        <w:ind w:left="4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the Commitments and this Agreement satisfies the requirements of sub- 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68" w:lineRule="exact"/>
        <w:rPr>
          <w:sz w:val="20"/>
          <w:szCs w:val="20"/>
          <w:color w:val="auto"/>
        </w:rPr>
      </w:pPr>
    </w:p>
    <w:p>
      <w:pPr>
        <w:ind w:left="440" w:right="160" w:firstLine="419"/>
        <w:spacing w:after="0" w:line="282" w:lineRule="auto"/>
        <w:tabs>
          <w:tab w:leader="none" w:pos="116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right="40" w:firstLine="436"/>
        <w:spacing w:after="0" w:line="273" w:lineRule="auto"/>
        <w:tabs>
          <w:tab w:leader="none" w:pos="695"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w:t>
      </w:r>
      <w:r>
        <w:rPr>
          <w:rFonts w:ascii="Times New Roman" w:cs="Times New Roman" w:eastAsia="Times New Roman" w:hAnsi="Times New Roman"/>
          <w:sz w:val="17"/>
          <w:szCs w:val="17"/>
          <w:u w:val="single" w:color="auto"/>
          <w:color w:val="auto"/>
        </w:rPr>
        <w:t>sub-clause (i)</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is true with respect to a Lender or such Lender has provided another representation, warranty and covenant as provided in </w:t>
      </w:r>
      <w:r>
        <w:rPr>
          <w:rFonts w:ascii="Times New Roman" w:cs="Times New Roman" w:eastAsia="Times New Roman" w:hAnsi="Times New Roman"/>
          <w:sz w:val="17"/>
          <w:szCs w:val="17"/>
          <w:u w:val="single" w:color="auto"/>
          <w:color w:val="auto"/>
        </w:rPr>
        <w:t>sub-clause (iv)</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such Lender further (x) represents and warrants, as of the date such Person becomes a Lender party hereto and (y) covenants, from the date such Person becomes a Lender party hereto, to the date such Person ceases being a Lender party hereto, for the benefit of, the Administrative Agent, the Arrangers or any of their respective Affiliates, and not, for the avoidance of doubt, to or for the benefit of the Borrower or any other Loan Party, that none of the Administrative Agent, the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171" w:lineRule="exact"/>
        <w:rPr>
          <w:rFonts w:ascii="Times New Roman" w:cs="Times New Roman" w:eastAsia="Times New Roman" w:hAnsi="Times New Roman"/>
          <w:sz w:val="17"/>
          <w:szCs w:val="17"/>
          <w:color w:val="auto"/>
        </w:rPr>
      </w:pPr>
    </w:p>
    <w:p>
      <w:pPr>
        <w:ind w:firstLine="436"/>
        <w:spacing w:after="0" w:line="253"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Arranger and each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6"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6" w:name="page157"/>
    <w:bookmarkEnd w:id="156"/>
    <w:p>
      <w:pPr>
        <w:ind w:firstLine="436"/>
        <w:spacing w:after="0" w:line="269" w:lineRule="auto"/>
        <w:tabs>
          <w:tab w:leader="none" w:pos="68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BORROWER COMMUNICATIONS OR THE APPROVED BORROWER PORTAL. IN NO EVENT SHALL THE ADMINISTRATIVE AGENT, ANY ARRANGER, ANY CO-DOCUMENTATION AGENT OR ANY OF THEIR RESPECTIVE RELATED PARTIES (COLLECTIVELY, “</w:t>
      </w:r>
      <w:r>
        <w:rPr>
          <w:rFonts w:ascii="Times New Roman" w:cs="Times New Roman" w:eastAsia="Times New Roman" w:hAnsi="Times New Roman"/>
          <w:sz w:val="17"/>
          <w:szCs w:val="17"/>
          <w:u w:val="single" w:color="auto"/>
          <w:color w:val="auto"/>
        </w:rPr>
        <w:t>APPLICABLE PARTIES</w:t>
      </w:r>
      <w:r>
        <w:rPr>
          <w:rFonts w:ascii="Times New Roman" w:cs="Times New Roman" w:eastAsia="Times New Roman" w:hAnsi="Times New Roman"/>
          <w:sz w:val="17"/>
          <w:szCs w:val="17"/>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8" w:lineRule="exact"/>
        <w:rPr>
          <w:rFonts w:ascii="Times New Roman" w:cs="Times New Roman" w:eastAsia="Times New Roman" w:hAnsi="Times New Roman"/>
          <w:sz w:val="17"/>
          <w:szCs w:val="17"/>
          <w:color w:val="auto"/>
        </w:rPr>
      </w:pPr>
    </w:p>
    <w:p>
      <w:pPr>
        <w:ind w:right="80" w:firstLine="436"/>
        <w:spacing w:after="0" w:line="266"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right="360" w:firstLine="436"/>
        <w:spacing w:after="0" w:line="282" w:lineRule="auto"/>
        <w:tabs>
          <w:tab w:leader="none" w:pos="6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Borrower to give any notice or other communication pursuant to any Loan Document in any other manner specified in such Loan Document.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telecopy, as follows:</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Neurocrine Biosciences,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6027 Edgewood Bend Court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Matt Abernethy, Chief Financial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440" w:top="270" w:right="439" w:bottom="1440" w:gutter="0" w:footer="0" w:header="0"/>
        </w:sectPr>
      </w:pPr>
    </w:p>
    <w:bookmarkStart w:id="157" w:name="page158"/>
    <w:bookmarkEnd w:id="15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1299 Pennsylvania Avenue, NW, Suite 700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Tollini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980" w:right="160" w:firstLine="408"/>
        <w:spacing w:after="0" w:line="282" w:lineRule="auto"/>
        <w:tabs>
          <w:tab w:leader="none" w:pos="16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to the Administrative Agent from the Borrower, to JPMorgan Chase Bank, N.A., at the address separately provided to the Borrower and (B) if to the Administrative Agent from the Lenders, at the address separately provided to such Lender; and</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9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JPMorgan Chase Bank, N.A., in its capacity as an Issuing Bank, to it at the address separately provided to the Borrower, or in the case of any other Issuing Bank, to it at the address and telecopy number specified from time to time by such Issuing Bank to the Borrower and the Administrative Agent;</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it at its address (or telecopy number) set forth in its Administrative Questionnaire.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said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36"/>
        <w:spacing w:after="0" w:line="25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any Loan Party,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rFonts w:ascii="Times New Roman" w:cs="Times New Roman" w:eastAsia="Times New Roman" w:hAnsi="Times New Roman"/>
          <w:sz w:val="18"/>
          <w:szCs w:val="18"/>
          <w:color w:val="auto"/>
        </w:rPr>
      </w:pPr>
    </w:p>
    <w:p>
      <w:pPr>
        <w:ind w:right="140" w:firstLine="436"/>
        <w:spacing w:after="0" w:line="255"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58" w:name="page159"/>
    <w:bookmarkEnd w:id="1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 respect to an Incremental Amendment,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with respect to a Refinancing Facility Agreement,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with respect to an Extension Amendment, or as provided in the definition of “Incremental Equivalent Debt”,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ind w:left="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Section 2.14(c)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2.14(d)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6.03(c)</w:t>
      </w:r>
      <w:r>
        <w:rPr>
          <w:rFonts w:ascii="Times New Roman" w:cs="Times New Roman" w:eastAsia="Times New Roman" w:hAnsi="Times New Roman"/>
          <w:sz w:val="17"/>
          <w:szCs w:val="17"/>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written consent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agreement shall (i) increase the Commitment of any Lender without the written consent of such Lender (it being understood and agreed that a waiver of any condition precedent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or of any Default or Event of Default is not considered an extension or increase in Commitment of any Lender), (ii) reduce or forgive the principal amount of any Loan or LC Disbursement or reduce the rate of interest thereon, or reduce or forgive any interest, fees or other amounts payable hereunder, without the written consent of each Lender directly affected thereby (except that none of (A) any amendment or modification of the financial covenants in this Agreement (or defined terms used in the financial covenants in this Agreement) or (B) the waiver or reduction of the obligation of the Borrower to pay interest or fees at the applicable default rate set forth in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 xml:space="preserve"> shall constitute a reduction in the rate of interest or fees for purposes of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(iii) postpone the scheduled date of payment of the principal amount of any Loan or LC Disbursement, or any interest thereon (other than interest payable at the applicable default rate set forth in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 xml:space="preserve">, or any fees payable hereunder, or reduce the amount of, waive or excuse any such payment, or postpone the scheduled date of expiration of any Commitment, without the written consent of each Lender directly affected thereby, (iv) change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2.18(b)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2.18(d)</w:t>
      </w:r>
      <w:r>
        <w:rPr>
          <w:rFonts w:ascii="Times New Roman" w:cs="Times New Roman" w:eastAsia="Times New Roman" w:hAnsi="Times New Roman"/>
          <w:sz w:val="17"/>
          <w:szCs w:val="17"/>
          <w:color w:val="auto"/>
        </w:rPr>
        <w:t xml:space="preserve"> in a manner that would alter the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sharing or application of payments required thereby, without the written consent of each Lender, (v) change the payment waterfall provisions of </w:t>
      </w:r>
      <w:r>
        <w:rPr>
          <w:rFonts w:ascii="Times New Roman" w:cs="Times New Roman" w:eastAsia="Times New Roman" w:hAnsi="Times New Roman"/>
          <w:sz w:val="17"/>
          <w:szCs w:val="17"/>
          <w:u w:val="single" w:color="auto"/>
          <w:color w:val="auto"/>
        </w:rPr>
        <w:t>Section 2.18(b)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to be parties to an Incremental Amendment, Incremental Term Loans and Incremental Revolving Commitments and Incremental Revolving Loans may be included in the determination of Required Lenders on substantially the same basis as the Unfunded Commitments and the Loans are included on the Effective Date),</w:t>
      </w:r>
    </w:p>
    <w:p>
      <w:pPr>
        <w:spacing w:after="0" w:line="204" w:lineRule="exact"/>
        <w:rPr>
          <w:rFonts w:ascii="Times New Roman" w:cs="Times New Roman" w:eastAsia="Times New Roman" w:hAnsi="Times New Roman"/>
          <w:sz w:val="18"/>
          <w:szCs w:val="18"/>
          <w:color w:val="auto"/>
        </w:rPr>
      </w:pPr>
    </w:p>
    <w:p>
      <w:pPr>
        <w:ind w:left="4" w:right="300" w:hanging="4"/>
        <w:spacing w:after="0" w:line="250" w:lineRule="auto"/>
        <w:tabs>
          <w:tab w:leader="none" w:pos="35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release the Borrower from its obligations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(B) release the Borrower from its obligations as a Loan Party or (C) release all or substantially all of the Subsidiary Guarantors from their obligations under the Guaranty, in each case, without the written consent of each Lender,</w:t>
      </w:r>
    </w:p>
    <w:p>
      <w:pPr>
        <w:jc w:val="both"/>
        <w:ind w:left="4" w:right="120" w:hanging="4"/>
        <w:spacing w:after="0" w:line="255" w:lineRule="auto"/>
        <w:tabs>
          <w:tab w:leader="none" w:pos="4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Section or in any Collateral Document, release all or substantially all of the Collateral, without the written consent of each Lender, (ix) subordinate the Lien on a material portion of the Collateral, taken as a whole, securing the Secured Obligations to the Lien securing any other Indebtedness (other than any Lien permitted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6.02(e))</w:t>
      </w:r>
      <w:r>
        <w:rPr>
          <w:rFonts w:ascii="Times New Roman" w:cs="Times New Roman" w:eastAsia="Times New Roman" w:hAnsi="Times New Roman"/>
          <w:sz w:val="18"/>
          <w:szCs w:val="18"/>
          <w:color w:val="auto"/>
        </w:rPr>
        <w:t>, without the written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159" w:name="page160"/>
    <w:bookmarkEnd w:id="159"/>
    <w:p>
      <w:pPr>
        <w:ind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of each Lender directly affected thereby or (x) subordinate the Secured Obligations (or any Class thereof) in right of payment to any other Indebtedness, without the written consent of each Lender directly affected thereby;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 no such agreement shall amend, modify or otherwise affect the rights or duties of the Administrative Agent or any Issuing Bank hereunder without the prior written consent of the Administrative Agent or such Issuing Bank, as the case may be (it being understood that any change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shall require the consent of the Administrative Agent and the Issuing Banks); and provided further that no such agreement shall amend or modify the provisions of Section 2.06 without the prior written consent of the Administrative agent and such Issuing Bank and (B)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Notwithstanding the foregoing, no consent with respect to any amendment, waiver or other modification of this Agreement shall be required of any Defaulting Lender, except with respect to any amendment, waiver or other modification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of the first </w:t>
      </w:r>
      <w:r>
        <w:rPr>
          <w:rFonts w:ascii="Times New Roman" w:cs="Times New Roman" w:eastAsia="Times New Roman" w:hAnsi="Times New Roman"/>
          <w:sz w:val="17"/>
          <w:szCs w:val="17"/>
          <w:i w:val="1"/>
          <w:iCs w:val="1"/>
          <w:color w:val="auto"/>
        </w:rPr>
        <w:t xml:space="preserve">proviso </w:t>
      </w:r>
      <w:r>
        <w:rPr>
          <w:rFonts w:ascii="Times New Roman" w:cs="Times New Roman" w:eastAsia="Times New Roman" w:hAnsi="Times New Roman"/>
          <w:sz w:val="17"/>
          <w:szCs w:val="17"/>
          <w:color w:val="auto"/>
        </w:rPr>
        <w:t>of this paragraph and then only in the event such Defaulting Lender shall be directly affected by such amendment, waiver or other modification.</w:t>
      </w:r>
    </w:p>
    <w:p>
      <w:pPr>
        <w:spacing w:after="0" w:line="182" w:lineRule="exact"/>
        <w:rPr>
          <w:sz w:val="20"/>
          <w:szCs w:val="20"/>
          <w:color w:val="auto"/>
        </w:rPr>
      </w:pPr>
    </w:p>
    <w:p>
      <w:pPr>
        <w:ind w:firstLine="436"/>
        <w:spacing w:after="0" w:line="254"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Agreement and any other Loan Document may be amended (or amended and restated) with the written consent of the Required Lenders, the Administrative Agent and the Borrower (x) to add one or more credit facilities (in addition to Incremental Commitments and/or Incremental Loans pursuant to an Incremental Amendment) to this Agreement and to permit extensions of credit from time to time outstanding thereunder and the accrued interest and fees in respect thereof to share ratably in the benefits of this Agreement and the other Loan Documents with the Term Loans, Incremental Loans and the accrued interest and fees in respect thereof and (y) to include appropriately the Lenders holding such credit facilities in any determination of the Required Lenders and Lenders (it being understood and agreed that any such amendment in connection with Incremental Commitments and/or Incremental Loans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Refinancing Commitments or Refinancing Loans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require solely the consent of the parties prescribed by such Section and shall not require the consent of the Required Lenders).</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and the Administrative Agent agrees, to release any Liens granted to the Administrative Agent by the Loan Parties on any Collateral (i) upon the satisfaction of the Final Release Conditions, (ii) upon the termination of all the Commitments, payment and satisfaction in full in cash of all Secured Obligations (other than Swap Obligations not yet due and payable, Banking Services Obligations not yet due and payable, Unliquidated Obligations for which no claim has been made and other Obligations expressly stated to survive such payment and termination), (iii) constituting property being sold or disposed of to any Person other than a Loan Party or that becomes Excluded Assets if the Borrower certifies to the Administrative Agent that the sale or disposition is made in compliance with the terms of this Agreement or that such property constitutes Excluded Assets (and the Administrative Agent may rely conclusively on any such certificate, without further inquiry), (iv) constituting property leased to the Borrower or any Subsidiary under a lease which has expired or been terminated in a transaction permitted under this Agreement, or (v)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(except to the extent any of the foregoing constitutes Excluded Assets). In addition, each of the Lenders, on behalf of itself and any of its Affiliates that are Secured Parties, irrevocably authorizes the Administrative Agent, and the Administrative Agent agrees, (i) if requested by the Borrower and the Borrower certifies that such subordination is permitted hereunder (and the Administrative Agent may rely conclusively on any such</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40" w:top="270" w:right="479" w:bottom="1440" w:gutter="0" w:footer="0" w:header="0"/>
        </w:sectPr>
      </w:pPr>
    </w:p>
    <w:bookmarkStart w:id="160" w:name="page161"/>
    <w:bookmarkEnd w:id="160"/>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without further inquiry), to subordinate any Lien on any assets granted to or held by the Administrative Agent under any Loan Document to the holder of any Lien on such property that is permitted by </w:t>
      </w:r>
      <w:r>
        <w:rPr>
          <w:rFonts w:ascii="Times New Roman" w:cs="Times New Roman" w:eastAsia="Times New Roman" w:hAnsi="Times New Roman"/>
          <w:sz w:val="17"/>
          <w:szCs w:val="17"/>
          <w:u w:val="single" w:color="auto"/>
          <w:color w:val="auto"/>
        </w:rPr>
        <w:t>Section 6.02(d)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6.02(e)</w:t>
      </w:r>
      <w:r>
        <w:rPr>
          <w:rFonts w:ascii="Times New Roman" w:cs="Times New Roman" w:eastAsia="Times New Roman" w:hAnsi="Times New Roman"/>
          <w:sz w:val="17"/>
          <w:szCs w:val="17"/>
          <w:color w:val="auto"/>
        </w:rPr>
        <w:t xml:space="preserve">, (ii)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the holder of such other Indebtedness that is to be subject to a Lien on property that is permitted by </w:t>
      </w:r>
      <w:r>
        <w:rPr>
          <w:rFonts w:ascii="Times New Roman" w:cs="Times New Roman" w:eastAsia="Times New Roman" w:hAnsi="Times New Roman"/>
          <w:sz w:val="17"/>
          <w:szCs w:val="17"/>
          <w:u w:val="single" w:color="auto"/>
          <w:color w:val="auto"/>
        </w:rPr>
        <w:t>Section 6.02(e</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or (to the extent constituting similar Liens on fixed or capital assets (including capital leases) that would otherwise be permitted by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save for the basket limitations of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6.02(u)</w:t>
      </w:r>
      <w:r>
        <w:rPr>
          <w:rFonts w:ascii="Times New Roman" w:cs="Times New Roman" w:eastAsia="Times New Roman" w:hAnsi="Times New Roman"/>
          <w:sz w:val="18"/>
          <w:szCs w:val="18"/>
          <w:color w:val="auto"/>
        </w:rPr>
        <w:t xml:space="preserve">, as applicable, requires, as a condition to the extension of such credit, that the Liens on such assets granted to or held by the Administrative Agent under any Loan Document be released, to release the Administrative Agent’s Liens on such assets or (iii) enter into any First Lien Intercreditor Agreement, Junior Lien Intercreditor Agreement, other intercreditor agreement, subordination agreement or arrangement expressly permitted under this Agreement, and any amendment, modification, supplement or joinder with respect thereto, and the Lenders acknowledge that any such First Lien Intercreditor Agreement, Junior Lien Intercreditor Agreement, other intercreditor agreement, subordination agreement or other arrangement is binding upon the Lenders. In each case as specified in this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and in form and substance reasonably satisfactory to the Administrative Agent, to evidence the (x) release of such item of Collateral from the assignment and security interest granted under the Loan Documents and deliver to the Borrower, at the expense of the Borrower, any portion of such Collateral so released that is in possession of the Administrative Agent or (y) subordination of its interest in such item, in each case in accordance with the terms of the Loan Documents and this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36"/>
        <w:spacing w:after="0" w:line="252"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 (iii) such Non-Consenting Lender shall have received the outstanding principal amount of its Loans and participations in LC Disbursements and (iv) such other bank or other entity consents to such proposed amendment, waiver or consent.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61" w:name="page162"/>
    <w:bookmarkEnd w:id="161"/>
    <w:p>
      <w:pPr>
        <w:ind w:left="-40" w:right="80" w:firstLine="436"/>
        <w:spacing w:after="0" w:line="256" w:lineRule="auto"/>
        <w:tabs>
          <w:tab w:leader="none" w:pos="62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the Administrative Agent may, with the consent of the Borrower or other applicable Loan Parties only, amend, modify or supplement this Agreement or any of the other Loan Documents (i) to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or (iii) to effect the granting, perfection, protection, expansion or enhancement of any security interest in any Collateral or additional property to become Collateral for the benefit of the Secured Parties.</w:t>
      </w:r>
    </w:p>
    <w:p>
      <w:pPr>
        <w:spacing w:after="0" w:line="187" w:lineRule="exact"/>
        <w:rPr>
          <w:rFonts w:ascii="Times New Roman" w:cs="Times New Roman" w:eastAsia="Times New Roman" w:hAnsi="Times New Roman"/>
          <w:sz w:val="18"/>
          <w:szCs w:val="18"/>
          <w:color w:val="auto"/>
        </w:rPr>
      </w:pPr>
    </w:p>
    <w:p>
      <w:pPr>
        <w:ind w:left="-40" w:right="180" w:firstLine="436"/>
        <w:spacing w:after="0" w:line="256" w:lineRule="auto"/>
        <w:tabs>
          <w:tab w:leader="none" w:pos="6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Lender consent is required to effect any amendment, modification or supplement to any First Lien Intercreditor Agreement, Junior Lien Intercreditor Agreement, intercreditor agreement subordination agreement or other arrangement permitted under this Agreement that is expressly contemplated by any First Lien Intercreditor Agreement, any Junior Lien Intercreditor Agreement, other intercreditor agreement, subordination agreement or other arrangement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amend, modify or otherwise adversely affect the rights or duties of the Administrative Agent hereunder or under any other Loan Document without the prior written consent of the Administrative Agent.</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436"/>
        <w:spacing w:after="0" w:line="252" w:lineRule="auto"/>
        <w:tabs>
          <w:tab w:leader="none" w:pos="64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shall pay (i) all reasonable and documented out-of-pocket expenses incurred by the Administrative Agent, the Arrangers, the Co-Documentation Agents and their respective Affiliates (which shall be limited, in the case of legal fees and expenses, to the reasonable and documented fees, disbursements and other charges of a single firm as primary counsel, along with a single firm of local counsel in each applicable jurisdiction and, in the event of an actual or reasonably perceived conflict of interest (as reasonably determined by the Administrative Agent or the applicable Arranger or Co-Documentation Agent), after consultation with the Borrower, one additional firm of primary counsel for each group of similarly affected persons, and to the extent required, one firm of local counsel in each applicable jurisdiction (which may include a single special counsel acting in multiple jurisdictions)), in connection with the syndication and distribution (including, without limitation, via the Internet or through a service such as Intralinks and any virtual data room fees)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fees, disbursements and other charges of a single firm as primary counsel, along with a single firm of local counsel in each applicable jurisdiction, for the Administrative Agent, and, in the event of an actual or reasonably perceived conflict of interest (as reasonably determined by the Administrative Agent or the applicable Issuing Bank or Lender), after consultation with the Borrower, one additional firm of primary counsel for each group of similarly affected persons, and to the extent required, one firm of local counsel in each applicable jurisdiction (which may include a single special counsel acting in multiple jurisdictions))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20"/>
          </w:cols>
          <w:pgMar w:left="480" w:top="270" w:right="499" w:bottom="1440" w:gutter="0" w:footer="0" w:header="0"/>
        </w:sectPr>
      </w:pPr>
    </w:p>
    <w:bookmarkStart w:id="162" w:name="page163"/>
    <w:bookmarkEnd w:id="162"/>
    <w:p>
      <w:pPr>
        <w:ind w:firstLine="436"/>
        <w:spacing w:after="0" w:line="252" w:lineRule="auto"/>
        <w:tabs>
          <w:tab w:leader="none" w:pos="69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To the extent permitted by applicable law (i) the Borrower and any other Loan Party shall not assert, and the Borrower and each other Loan Party hereby waives, any claim against the Administrative Agent, any Arranger, any Co-Documentation Agent,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(ii) in no event shall the Borrower or any of its affiliates or any of its or their respective officers, directors, employees, advisors or agents (each a “</w:t>
      </w:r>
      <w:r>
        <w:rPr>
          <w:rFonts w:ascii="Times New Roman" w:cs="Times New Roman" w:eastAsia="Times New Roman" w:hAnsi="Times New Roman"/>
          <w:sz w:val="18"/>
          <w:szCs w:val="18"/>
          <w:u w:val="single" w:color="auto"/>
          <w:color w:val="auto"/>
        </w:rPr>
        <w:t>Borrower-Related Person</w:t>
      </w:r>
      <w:r>
        <w:rPr>
          <w:rFonts w:ascii="Times New Roman" w:cs="Times New Roman" w:eastAsia="Times New Roman" w:hAnsi="Times New Roman"/>
          <w:sz w:val="18"/>
          <w:szCs w:val="18"/>
          <w:color w:val="auto"/>
        </w:rPr>
        <w:t xml:space="preserve">”) have any Liabilities, on any theory of liability, for any special, indirect, consequential or punitive damages incurred by us, our affiliates or our respective equity holders arising out of, in connection with, or as a result of, this Agreement, any other Loan Document or any other agreement or instrument contemplated hereby or thereby and (iii)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relieve the Borrower or any other Loan Party of any obligation it may have to indemnify an Indemnitee, as provided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against any special, indirect, consequential or punitive damages asserted against such Indemnitee by a third party.</w:t>
      </w:r>
    </w:p>
    <w:p>
      <w:pPr>
        <w:spacing w:after="0" w:line="197" w:lineRule="exact"/>
        <w:rPr>
          <w:rFonts w:ascii="Times New Roman" w:cs="Times New Roman" w:eastAsia="Times New Roman" w:hAnsi="Times New Roman"/>
          <w:sz w:val="18"/>
          <w:szCs w:val="18"/>
          <w:color w:val="auto"/>
        </w:rPr>
      </w:pPr>
    </w:p>
    <w:p>
      <w:pPr>
        <w:ind w:firstLine="436"/>
        <w:spacing w:after="0" w:line="267" w:lineRule="auto"/>
        <w:tabs>
          <w:tab w:leader="none" w:pos="68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Borrower shall indemnify the Administrative Agent, each Arranger, the Co-Syndication Agent, each Co-Documentation Agent, each Issuing Bank and each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Liabilities and related expenses (which shall be limited, in the case of legal fees and expenses, to the reasonable and documented fees, disbursements and other charges of a single firm of primary counsel, along with such specialist counsel as may reasonably be required by the Administrative Agent, and a single firm of local counsel in each applicable jurisdiction for all Indemnitees and, in the event of an actual or reasonably perceived conflict of interest (as reasonably determined by the applicable Indemnitee), one additional firm of counsel to each group of similarly affected Indemnitees and to the extent required, one firm or local counsel in each applicable jurisdiction (which may include a single special counsel acting in multiple jurisdictions), but no third party advisors without prior written consent of the Borrower,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action taken in connection with this Agreement, including, but not limited to, the payment of principal, interest and fees, (iv)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(v) any act or omission of the Administrative Agent in connection with the administration of this Agreement, any other Loan Document, or any agreement or instrument contemplated hereby or thereby, (vi) any actual or alleged presence or release of Hazardous Materials on or from any property owned or operated by the Borrower or any of its Subsidiaries, or any Environmental Liability related in any way to the Borrower or any of its Subsidiaries, or (vii) any actual or prospective Proceeding in any jurisdiction relating to any of the foregoing (including in relation to enforcing the terms of the limitation of liability and indemnification referred to above), whether or not such Proceeding is brought by the Borrower or any other Loan Party or its or their respective equity holders, Affiliates, creditors or any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63" w:name="page164"/>
    <w:bookmarkEnd w:id="16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(i) the gross negligence, bad faith or willful misconduct of such Indemnitee or any of its Controlled Related Parties in performing its activities or in furnishing its commitments or services under this Agreement or the other Loan Documents, (ii) a breach by such Indemnitee or any of its Controlled Related Parties of its material obligations under this Agreement or the other Loan Documents or (iii) any dispute solely among Indemnitees (not arising from any act or omission of the Borrower or any of its Affiliates) other than claims against an Indemnitee acting in its capacity as, or in fulfilling its role as, the Administrative Agent, an Arranger, a Co-Documentation Agent or an Issuing Bank under this Agreement or the other Loan Documents). As used above, a “</w:t>
      </w:r>
      <w:r>
        <w:rPr>
          <w:rFonts w:ascii="Times New Roman" w:cs="Times New Roman" w:eastAsia="Times New Roman" w:hAnsi="Times New Roman"/>
          <w:sz w:val="18"/>
          <w:szCs w:val="18"/>
          <w:u w:val="single" w:color="auto"/>
          <w:color w:val="auto"/>
        </w:rPr>
        <w:t>Controlled Related Party</w:t>
      </w:r>
      <w:r>
        <w:rPr>
          <w:rFonts w:ascii="Times New Roman" w:cs="Times New Roman" w:eastAsia="Times New Roman" w:hAnsi="Times New Roman"/>
          <w:sz w:val="18"/>
          <w:szCs w:val="18"/>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acting at the instructions of such Indemnitee, Controlling Person or Controlled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to a Controlling Person, Controlled Affiliate, director, officer or employee in this sentence pertains to a Controlling Person, Controlled Affiliate, director, officer or employee involved in the arrangement, negotiation or syndication of the credit facilities evidenced by this Agreement. This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shall not apply with respect to Taxes other than any Taxes that represent losses, claims or damages arising from any non-Tax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Borrower shall not be liable for any settlement of any claim, litigation, investigation, arbitration or administrative, judicial or regulatory action or proceeding effected without the Borrower’s prior written consent (such consent not to be unreasonably withheld or delayed).</w:t>
      </w:r>
    </w:p>
    <w:p>
      <w:pPr>
        <w:spacing w:after="0" w:line="193" w:lineRule="exact"/>
        <w:rPr>
          <w:sz w:val="20"/>
          <w:szCs w:val="20"/>
          <w:color w:val="auto"/>
        </w:rPr>
      </w:pPr>
    </w:p>
    <w:p>
      <w:pPr>
        <w:ind w:firstLine="436"/>
        <w:spacing w:after="0" w:line="256"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xml:space="preserve">. To the extent that the Borrower fails to pay any amount required to be paid by it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each Lender severally agrees to pay to the Administrative Agent, and each Revolving Lender severally agrees to pay to each Issuing Bank,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as the case may be, such Lender’s Applicable Percentage (determined as of the time that the applicable payment is sought) of such unpaid amount (it being understood that the Borrower or the Borrower’s failure to pay any such amount shall not relieve the Borrower of any default in the payment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payable not later than thirty (30) days after written demand therefor.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(including any Affiliate of the relevant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and, to the extent expressly contemplated hereby (including any Affiliate of the relevant Issuing Bank that issues any Letter of Credit), the Related Parties of each of the Administrative Agent, the Issuing Banks and the Lenders) any legal or equitable right, remedy or claim under or by reason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164" w:name="page165"/>
    <w:bookmarkEnd w:id="164"/>
    <w:p>
      <w:pPr>
        <w:jc w:val="both"/>
        <w:ind w:left="-20" w:right="160" w:firstLine="436"/>
        <w:spacing w:after="0" w:line="289" w:lineRule="auto"/>
        <w:tabs>
          <w:tab w:leader="none" w:pos="675"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conditions set forth in </w:t>
      </w:r>
      <w:r>
        <w:rPr>
          <w:rFonts w:ascii="Times New Roman" w:cs="Times New Roman" w:eastAsia="Times New Roman" w:hAnsi="Times New Roman"/>
          <w:sz w:val="17"/>
          <w:szCs w:val="17"/>
          <w:u w:val="single" w:color="auto"/>
          <w:color w:val="auto"/>
        </w:rPr>
        <w:t>clause (b)(ii)</w:t>
      </w:r>
      <w:r>
        <w:rPr>
          <w:rFonts w:ascii="Times New Roman" w:cs="Times New Roman" w:eastAsia="Times New Roman" w:hAnsi="Times New Roman"/>
          <w:sz w:val="17"/>
          <w:szCs w:val="17"/>
          <w:color w:val="auto"/>
        </w:rPr>
        <w:t xml:space="preserve"> below, any Lender may assign to one or more Persons (other than an Ineligible Institution) all or a portion of its rights and obligations under this Agreement (including all or a portion of its Commitments, participations in Letters of Credit and the Loans at the time owing to it) with the prior written consent (such consent not to be unreasonably withheld, conditioned or delayed) of:</w:t>
      </w:r>
    </w:p>
    <w:p>
      <w:pPr>
        <w:spacing w:after="0" w:line="49" w:lineRule="exact"/>
        <w:rPr>
          <w:rFonts w:ascii="Times New Roman" w:cs="Times New Roman" w:eastAsia="Times New Roman" w:hAnsi="Times New Roman"/>
          <w:sz w:val="17"/>
          <w:szCs w:val="17"/>
          <w:color w:val="auto"/>
        </w:rPr>
      </w:pPr>
    </w:p>
    <w:p>
      <w:pPr>
        <w:jc w:val="both"/>
        <w:ind w:left="420" w:firstLine="419"/>
        <w:spacing w:after="0" w:line="261" w:lineRule="auto"/>
        <w:tabs>
          <w:tab w:leader="none" w:pos="105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10 Business Days after having received written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Borrower shall be required for an assignment to a Lender, an Affiliate of a Lender, an Approved Fund or, if a Specified Event of Default has occurred and is continuing, any other assignee;</w:t>
      </w:r>
    </w:p>
    <w:p>
      <w:pPr>
        <w:spacing w:after="0" w:line="71" w:lineRule="exact"/>
        <w:rPr>
          <w:rFonts w:ascii="Times New Roman" w:cs="Times New Roman" w:eastAsia="Times New Roman" w:hAnsi="Times New Roman"/>
          <w:sz w:val="18"/>
          <w:szCs w:val="18"/>
          <w:color w:val="auto"/>
        </w:rPr>
      </w:pPr>
    </w:p>
    <w:p>
      <w:pPr>
        <w:ind w:left="960" w:right="100" w:firstLine="408"/>
        <w:spacing w:after="0" w:line="282" w:lineRule="auto"/>
        <w:tabs>
          <w:tab w:leader="none" w:pos="1646"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an Approved Fund; and</w:t>
      </w:r>
    </w:p>
    <w:p>
      <w:pPr>
        <w:spacing w:after="0" w:line="53" w:lineRule="exact"/>
        <w:rPr>
          <w:rFonts w:ascii="Times New Roman" w:cs="Times New Roman" w:eastAsia="Times New Roman" w:hAnsi="Times New Roman"/>
          <w:sz w:val="18"/>
          <w:szCs w:val="18"/>
          <w:color w:val="auto"/>
        </w:rPr>
      </w:pPr>
    </w:p>
    <w:p>
      <w:pPr>
        <w:ind w:left="960" w:right="360" w:firstLine="408"/>
        <w:spacing w:after="0" w:line="282" w:lineRule="auto"/>
        <w:tabs>
          <w:tab w:leader="none" w:pos="1646"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Issuing Bank shall be required for an assignment of all or any portion of a Term Loan.</w:t>
      </w:r>
    </w:p>
    <w:p>
      <w:pPr>
        <w:spacing w:after="0" w:line="269"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960" w:right="20" w:firstLine="408"/>
        <w:spacing w:after="0" w:line="256" w:lineRule="auto"/>
        <w:tabs>
          <w:tab w:leader="none" w:pos="1656"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in each case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w:t>
      </w:r>
    </w:p>
    <w:p>
      <w:pPr>
        <w:spacing w:after="0" w:line="79" w:lineRule="exact"/>
        <w:rPr>
          <w:rFonts w:ascii="Times New Roman" w:cs="Times New Roman" w:eastAsia="Times New Roman" w:hAnsi="Times New Roman"/>
          <w:sz w:val="18"/>
          <w:szCs w:val="18"/>
          <w:color w:val="auto"/>
        </w:rPr>
      </w:pPr>
    </w:p>
    <w:p>
      <w:pPr>
        <w:ind w:left="1660" w:hanging="292"/>
        <w:spacing w:after="0"/>
        <w:tabs>
          <w:tab w:leader="none" w:pos="1660"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w:t>
      </w:r>
    </w:p>
    <w:p>
      <w:pPr>
        <w:spacing w:after="0" w:line="27" w:lineRule="exact"/>
        <w:rPr>
          <w:rFonts w:ascii="Times New Roman" w:cs="Times New Roman" w:eastAsia="Times New Roman" w:hAnsi="Times New Roman"/>
          <w:sz w:val="18"/>
          <w:szCs w:val="18"/>
          <w:color w:val="auto"/>
        </w:rPr>
      </w:pPr>
    </w:p>
    <w:p>
      <w:pPr>
        <w:ind w:left="96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73" w:lineRule="exact"/>
        <w:rPr>
          <w:rFonts w:ascii="Times New Roman" w:cs="Times New Roman" w:eastAsia="Times New Roman" w:hAnsi="Times New Roman"/>
          <w:sz w:val="18"/>
          <w:szCs w:val="18"/>
          <w:color w:val="auto"/>
        </w:rPr>
      </w:pPr>
    </w:p>
    <w:p>
      <w:pPr>
        <w:ind w:left="960" w:right="20" w:firstLine="408"/>
        <w:spacing w:after="0" w:line="258" w:lineRule="auto"/>
        <w:tabs>
          <w:tab w:leader="none" w:pos="1646"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80"/>
          </w:cols>
          <w:pgMar w:left="460" w:top="270" w:right="459" w:bottom="1440" w:gutter="0" w:footer="0" w:header="0"/>
        </w:sectPr>
      </w:pPr>
    </w:p>
    <w:bookmarkStart w:id="165" w:name="page166"/>
    <w:bookmarkEnd w:id="165"/>
    <w:p>
      <w:pPr>
        <w:ind w:left="980" w:right="140" w:firstLine="408"/>
        <w:spacing w:after="0" w:line="258" w:lineRule="auto"/>
        <w:tabs>
          <w:tab w:leader="none" w:pos="167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the Borrower’s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terms “Approved Fund” and “Ineligible Institution” have the following meanings:</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or a Disqualified Institution)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the Borrower, any of the Borrower’s Subsidiaries or any of the Borrower’s Affiliates, (c) a Defaulting Lender or its Lender Parent, (d) a company, investment vehicle or trust for, or owned and operated for the primary benefit of, a natural person or relative(s) thereof or (e) a Disqualified Institution.</w:t>
      </w:r>
    </w:p>
    <w:p>
      <w:pPr>
        <w:spacing w:after="0" w:line="68" w:lineRule="exact"/>
        <w:rPr>
          <w:sz w:val="20"/>
          <w:szCs w:val="20"/>
          <w:color w:val="auto"/>
        </w:rPr>
      </w:pPr>
    </w:p>
    <w:p>
      <w:pPr>
        <w:ind w:left="440" w:right="80" w:firstLine="419"/>
        <w:spacing w:after="0" w:line="254" w:lineRule="auto"/>
        <w:tabs>
          <w:tab w:leader="none" w:pos="117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6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shall be construed so that the Loans and the Commitments are at all times maintained in “registered form” within the meaning of the Code and Treasury Regulations, including without limitation Sections 163(f), 165(j), 871(h)(2), 881(c)(2) and 4701 of the Code.</w:t>
      </w:r>
    </w:p>
    <w:p>
      <w:pPr>
        <w:spacing w:after="0" w:line="80"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1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66" w:name="page167"/>
    <w:bookmarkEnd w:id="166"/>
    <w:p>
      <w:pPr>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and any written consent to such assignment required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Sections 2.06(d)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44" w:right="18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2.18(e)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6" w:lineRule="exact"/>
        <w:rPr>
          <w:sz w:val="20"/>
          <w:szCs w:val="20"/>
          <w:color w:val="auto"/>
        </w:rPr>
      </w:pPr>
    </w:p>
    <w:p>
      <w:pPr>
        <w:ind w:left="4" w:right="20" w:firstLine="436"/>
        <w:spacing w:after="0" w:line="270" w:lineRule="auto"/>
        <w:tabs>
          <w:tab w:leader="none" w:pos="689"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may, without the consent of, or notice to, the Borrower the Administrative Agent or Issuing Banks, sell participations to one or more banks or other entities (other than a holding company or investment vehicle or trust for, or owned and operated for the primary benefit of, a natural person, or the Borrower or any of the Borrower’s Affiliates or Subsidiaries)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ind w:left="4" w:right="20" w:hanging="4"/>
        <w:spacing w:after="0" w:line="250" w:lineRule="auto"/>
        <w:tabs>
          <w:tab w:leader="none" w:pos="29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(it being understood that the documentation and confirmations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Section; and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Letters of Credit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Code and Treasury Regulations, including without limitation Section 5f.103-1(c) of the United States Treasury Regulations or Section 1.163-5(b) of the Proposed United States Treasury Regulations (or, in each case, any amended or successor version) or, if different, under Sections 871(h) or 881(c), of the Code. The entries</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70" w:right="459" w:bottom="1440" w:gutter="0" w:footer="0" w:header="0"/>
        </w:sectPr>
      </w:pPr>
    </w:p>
    <w:bookmarkStart w:id="167" w:name="page168"/>
    <w:bookmarkEnd w:id="16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ind w:right="40" w:firstLine="436"/>
        <w:spacing w:after="0" w:line="258" w:lineRule="auto"/>
        <w:tabs>
          <w:tab w:leader="none" w:pos="6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or participation shall be made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(x) the designation of any Person as a Disqualified Institution (including as a result of the delivery of a written supplement to the list of “Disqualified Institutions” referred to in the definition of “Disqualified Institution”) shall not retroactively disqualify any pending or prior assignment of or participation in an interest in the Loans or the Commitments to any pending Lender, pending Participant, Lender or Participant, as applicable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18"/>
          <w:szCs w:val="18"/>
          <w:u w:val="single" w:color="auto"/>
          <w:color w:val="auto"/>
        </w:rPr>
        <w:t>clause (e)(i)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apply.</w:t>
      </w:r>
    </w:p>
    <w:p>
      <w:pPr>
        <w:spacing w:after="0" w:line="86" w:lineRule="exact"/>
        <w:rPr>
          <w:rFonts w:ascii="Times New Roman" w:cs="Times New Roman" w:eastAsia="Times New Roman" w:hAnsi="Times New Roman"/>
          <w:sz w:val="18"/>
          <w:szCs w:val="18"/>
          <w:color w:val="auto"/>
        </w:rPr>
      </w:pPr>
    </w:p>
    <w:p>
      <w:pPr>
        <w:ind w:left="440" w:right="20" w:firstLine="419"/>
        <w:spacing w:after="0" w:line="273" w:lineRule="auto"/>
        <w:tabs>
          <w:tab w:leader="none" w:pos="112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assignment or participation is made to any Disqualified Institution without the Borrower’s prior written consent in violation of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or if any Person becomes a Disqualified Institution after the applicable Trade Date, the Borrower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all of its interest, rights and obligations under this Agreement to one or more Persons (other than an Ineligible Institution, the Borrower, any of the Borrower’s Subsidiaries or any of the Borrower’s Affiliates) at the lesser of (x) the principal amount thereof and (y) the amount that such Disqualified Institution paid to acquire such interests, rights and obligations in each case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accrued interest, accrued fees and all other amounts (other than principal amounts) payable to it hereunder.</w:t>
      </w:r>
    </w:p>
    <w:p>
      <w:pPr>
        <w:spacing w:after="0" w:line="63" w:lineRule="exact"/>
        <w:rPr>
          <w:rFonts w:ascii="Times New Roman" w:cs="Times New Roman" w:eastAsia="Times New Roman" w:hAnsi="Times New Roman"/>
          <w:sz w:val="17"/>
          <w:szCs w:val="17"/>
          <w:color w:val="auto"/>
        </w:rPr>
      </w:pPr>
    </w:p>
    <w:p>
      <w:pPr>
        <w:ind w:left="440" w:right="40" w:firstLine="419"/>
        <w:spacing w:after="0" w:line="256" w:lineRule="auto"/>
        <w:tabs>
          <w:tab w:leader="none" w:pos="117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Disqualified Institutions to whom an assignment or participation is made in violation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 will not have the right to (x)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68" w:name="page169"/>
    <w:bookmarkEnd w:id="168"/>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if such Disqualified Institution does vote on such plan of reorganization notwithstanding the restriction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(2)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440" w:right="80" w:firstLine="419"/>
        <w:spacing w:after="0" w:line="261" w:lineRule="auto"/>
        <w:tabs>
          <w:tab w:leader="none" w:pos="116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58" w:lineRule="auto"/>
        <w:tabs>
          <w:tab w:leader="none" w:pos="11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not be responsible or have any liability for, or have any duty to ascertain, inquire into, monitor or enforce, compliance with the provisions hereof relating to Disqualified Institutions. Without limiting the generality of the foregoing, neither the Administrative Agent nor any Lender shall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or any Letter of Credit is outstanding (unless such Letter of Credit has been cash collateralized or backstopped pursuant to arrangements reasonably satisfactory to the applicable Issuing Bank)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40" w:top="270" w:right="479" w:bottom="1440" w:gutter="0" w:footer="0" w:header="0"/>
        </w:sectPr>
      </w:pPr>
    </w:p>
    <w:bookmarkStart w:id="169" w:name="page170"/>
    <w:bookmarkEnd w:id="169"/>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and/or any Arrangers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0"/>
          </w:cols>
          <w:pgMar w:left="440" w:top="270" w:right="479" w:bottom="1440" w:gutter="0" w:footer="0" w:header="0"/>
        </w:sectPr>
      </w:pPr>
    </w:p>
    <w:bookmarkStart w:id="170" w:name="page171"/>
    <w:bookmarkEnd w:id="170"/>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the Issuing Bank,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the Issuing Bank or any such Affiliate, to or for the credit or the account of the Borrower against any and all of the obligations of the Borrower now or hereafter existing under this Agreement or any other Loan Document to such Lender or the Issuing Bank or their respective Affiliates, irrespective of whether or not such Lender, the Issuing Bank or Affiliate shall have made any demand under this Agreement or any other Loan Document and although such obligations of the Borrower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rights of each Lender, the Issuing Bank and their respective Affiliates under this Section are in addition to other rights and remedies (including other rights of setoff) that such Lender, such Issuing Bank or their respective Affiliates may have. Each Lender and each Issuing Bank agrees to notify the Borrower and the Administrative Agent promptly after any such setoff and application; provided that the failure to give such notice shall not affect the validity of such setoff and application.</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6"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(EXCEPT AS OTHERWISE EXPRESSLY SET FORTH IN ANY SUCH OTHER LOAN DOCUMENT) SHALL BE CONSTRUED IN ACCORDANCE WITH AND GOVERNED BY THE LAW OF THE STATE OF NEW YORK.</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9" w:lineRule="exact"/>
        <w:rPr>
          <w:rFonts w:ascii="Times New Roman" w:cs="Times New Roman" w:eastAsia="Times New Roman" w:hAnsi="Times New Roman"/>
          <w:sz w:val="18"/>
          <w:szCs w:val="18"/>
          <w:color w:val="auto"/>
        </w:rPr>
      </w:pPr>
    </w:p>
    <w:p>
      <w:pPr>
        <w:ind w:right="80" w:firstLine="436"/>
        <w:spacing w:after="0" w:line="255"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(whether in contract or tort or otherwise)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440" w:top="270" w:right="439" w:bottom="1440" w:gutter="0" w:footer="0" w:header="0"/>
        </w:sectPr>
      </w:pPr>
    </w:p>
    <w:bookmarkStart w:id="171" w:name="page172"/>
    <w:bookmarkEnd w:id="171"/>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3" w:lineRule="exact"/>
        <w:rPr>
          <w:sz w:val="20"/>
          <w:szCs w:val="20"/>
          <w:color w:val="auto"/>
        </w:rPr>
      </w:pPr>
    </w:p>
    <w:p>
      <w:pPr>
        <w:ind w:left="4" w:right="100" w:firstLine="436"/>
        <w:spacing w:after="0" w:line="261" w:lineRule="auto"/>
        <w:tabs>
          <w:tab w:leader="none" w:pos="69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420" w:hanging="4"/>
        <w:spacing w:after="0" w:line="273" w:lineRule="auto"/>
        <w:tabs>
          <w:tab w:leader="none" w:pos="299"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Banks and the Lenders agrees to maintain the confidentiality of, and not disclose to any Person, the Information (as defined below), except that Information may be disclosed (a) to its and its Affiliates’ directors, officers, employees and agents, including accountants, legal counsel and other advisors on a need-to-know basis (it being understood that the Persons to whom such disclosure is made will be informed of the confidential nature of such Information and instructed to keep such Information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Administrative Agent, Issuing Bank or Lender, as applicable, shall be responsible for compliance by such Persons with the provisions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(b) to the extent requested by any Governmental Authority (including any self-regulatory authority, such as the National Association of Insurance Commissioners) purporting to have jurisdiction over the Administrative Agent, Issuing Bank, the applicable Lender or its or their applicable Affiliates, (c) to the extent required by applicable laws or regulations or by any subpoena or similar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4"/>
          </w:cols>
          <w:pgMar w:left="436" w:top="270" w:right="479" w:bottom="1440" w:gutter="0" w:footer="0" w:header="0"/>
        </w:sectPr>
      </w:pPr>
    </w:p>
    <w:bookmarkStart w:id="172" w:name="page173"/>
    <w:bookmarkEnd w:id="172"/>
    <w:p>
      <w:pPr>
        <w:ind w:left="4" w:right="20" w:hanging="4"/>
        <w:spacing w:after="0" w:line="252" w:lineRule="auto"/>
        <w:tabs>
          <w:tab w:leader="none" w:pos="2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upon request by such assignee or Participant, or such prospective assignee of Participant) or (2)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prior written consent of the Borrower, (i) to the extent such Information (1) becomes publicly available other than as a result of a breach of this Section or (2) is received by the Administrative Agent, any Issuing Bank or any Lender on a non-confidential basis from a third party that is not, to the Administrative Agent’s or such Lender’s knowledge following reasonable inquiry, subject to confidentiality obligations in favor of the Borrower, or (j) subject to an agreement containing provisions substantially the same as those in this Section (or otherwise reasonably acceptable to the Borrower), to the extent required, to a potential or actual insurer or reinsurer in connection with providing insurance, reinsurance or credit risk mitigation coverage under which payments are to be made or may be made by reference to this Agreement.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w:t>
      </w:r>
    </w:p>
    <w:p>
      <w:pPr>
        <w:spacing w:after="0" w:line="19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9" w:lineRule="exact"/>
        <w:rPr>
          <w:sz w:val="20"/>
          <w:szCs w:val="20"/>
          <w:color w:val="auto"/>
        </w:rPr>
      </w:pPr>
    </w:p>
    <w:p>
      <w:pPr>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For the avoidance of doubt, nothing in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shall prohibit any person from voluntarily disclosing or providing any information within the scope of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to any governmental, regulatory or self-regulatory organization to the extent that any such prohibition on disclosure set forth in this </w:t>
      </w:r>
      <w:r>
        <w:rPr>
          <w:rFonts w:ascii="Times New Roman" w:cs="Times New Roman" w:eastAsia="Times New Roman" w:hAnsi="Times New Roman"/>
          <w:sz w:val="17"/>
          <w:szCs w:val="17"/>
          <w:u w:val="single" w:color="auto"/>
          <w:color w:val="auto"/>
        </w:rPr>
        <w:t>Section 9.12</w:t>
      </w:r>
      <w:r>
        <w:rPr>
          <w:rFonts w:ascii="Times New Roman" w:cs="Times New Roman" w:eastAsia="Times New Roman" w:hAnsi="Times New Roman"/>
          <w:sz w:val="17"/>
          <w:szCs w:val="17"/>
          <w:color w:val="auto"/>
        </w:rPr>
        <w:t xml:space="preserve"> shall be prohibited by the laws or regulations applicable to such governmental, regulatory or self-regulatory organization.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4"/>
          </w:cols>
          <w:pgMar w:left="436" w:top="270" w:right="459" w:bottom="1440" w:gutter="0" w:footer="0" w:header="0"/>
        </w:sectPr>
      </w:pPr>
    </w:p>
    <w:bookmarkStart w:id="173" w:name="page174"/>
    <w:bookmarkEnd w:id="173"/>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Patriot Act and the requirements of the Beneficial Ownership Regulation hereby notifies the Borrower and each other Loan Party that, pursuant to the requirements of the Patriot Act and the Beneficial Ownership Regulation, it is required to obtain, verify and record information that identifies the such Borrower or such Loan Party, which information includes the name, address and tax identification number of such Borrower and such Loan Party and other information that will allow such Lender to identify such Borrower and such Loan Party in accordance with the Patriot Act and the Beneficial Ownership Regulation and other applicable “know your customer” and anti-money laundering rules and regulations.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Releases of Subsidiary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3"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Subsidiary Guarantor shall automatically be released from its obligations under the Loan Documents upon the consummation of any transaction permitted by this Agreement as a result of which such Subsidiary Guarantor ceases to be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Upon any sale or other disposition (other than any lease or license) by any Loan Party (other than to the Borrower or any other Loan Party) of any Collateral in a transaction permitted under this Agreement, or upon the effectiveness of any written consent to the release of the security interest created under any Collateral Document in any Collateral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the security interests in such Collateral created by the Collateral Documents shall be automatically released. In connection with any termination or release pursuant to this Section (including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the Administrative Agent shall (and is hereby irrevocably authorized by each Lender to) execute and deliver to any Loan Party, at such Loan Party’s expense, all documents that such Loan Party shall reasonably request to evidence such termination or release and deliver to the Borrower any portion of such Collateral so released that is in possession of the Administrative Agent. Any execution and delivery of documents pursuant to this Section shall be without recourse to or warranty by the Administrative Agent except as may otherwise be expressly agreed in writing by the Administrative Agent and such Loan Party.</w:t>
      </w:r>
    </w:p>
    <w:p>
      <w:pPr>
        <w:spacing w:after="0" w:line="18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the Administrative Agent shall (and is hereby irrevocably authorized by each Lender to), upon the request of the Borrower, release any Subsidiary Guarantor from its obligations under the Guaranty if (i) such Subsidiary Guarantor is no longer a Material Domestic Subsidiary, becomes an Excluded Subsidiary or is otherwise not required pursuant to the terms of this Agreement to be a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less than 100% of the Equity Interests in such Subsidiary is sold, disposed of or otherwise transferred and such entity remains a Subsidiary, release under this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 xml:space="preserve"> shall only be given effect if (x) such sale, disposition or transfer has been consummated for a bona fide business purpose and (y) the applicable transferee shall not be an Affiliate of the Borrower or (ii) such release is approved, authorized or ratified by the requisite Lenders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80" w:firstLine="436"/>
        <w:spacing w:after="0" w:line="273" w:lineRule="auto"/>
        <w:tabs>
          <w:tab w:leader="none" w:pos="685"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the principal and interest on the Loans, all LC Disbursements, the fees, expenses and other amounts payable under the Loan Documents and the other Secured Obligations (other than Swap Obligations not yet due and payable, Banking Services Obligations not yet due and payable, Unliquidated Obligations for which no claim has been made and other Obligations expressly stated to survive such payment and termination) shall have been paid in full in cash, the Commitments shall have been terminated and no Letters of Credit shall be outstanding (or any outstanding Letters of Credit have been cash collateralized or otherwise backstopped in a manner satisfactory to the Administrative Agent (the foregoing, collectively, the “</w:t>
      </w:r>
      <w:r>
        <w:rPr>
          <w:rFonts w:ascii="Times New Roman" w:cs="Times New Roman" w:eastAsia="Times New Roman" w:hAnsi="Times New Roman"/>
          <w:sz w:val="17"/>
          <w:szCs w:val="17"/>
          <w:u w:val="single" w:color="auto"/>
          <w:color w:val="auto"/>
        </w:rPr>
        <w:t>Final Release Conditions</w:t>
      </w:r>
      <w:r>
        <w:rPr>
          <w:rFonts w:ascii="Times New Roman" w:cs="Times New Roman" w:eastAsia="Times New Roman" w:hAnsi="Times New Roman"/>
          <w:sz w:val="17"/>
          <w:szCs w:val="17"/>
          <w:color w:val="auto"/>
        </w:rPr>
        <w:t>”), the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74" w:name="page175"/>
    <w:bookmarkEnd w:id="174"/>
    <w:p>
      <w:pPr>
        <w:ind w:firstLine="436"/>
        <w:spacing w:after="0" w:line="255" w:lineRule="auto"/>
        <w:tabs>
          <w:tab w:leader="none" w:pos="6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and deliver to the Borrower any portion of such Collateral so released that is in possession of the Administrative Agent. Any execution and delivery of documents pursuant to this Section shall be without recourse to or warranty by the Administrative Agent except as may otherwise be expressly agreed in writing by the Administrative Agent and such Loan Party. The Administrative Agent may rely conclusively as to any of the matters described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on a certificate provided to it by the Borrower without further inquiry, which certificate shall be delivered to the Administrative Agent by the Borrower upon request.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and agrees, and acknowledges its Subsidiaries’ understanding, that no Arranger, Co-Documentation Agent or Credit Party will have any obligations except those obligations expressly set forth herein and in the other Loan Documents and each Arranger, Co-Documentation Agent and Credit Party and, if applicable, each of their respective Affiliates,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Arranger, Co-Documentation Agent or Credit Party based on an alleged breach of fiduciary duty by such Arranger, Co-Documentation Agent or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Arrangers, Co-Documentation Agents and Credit Parties shall have no responsibility or liability to the Borrower with respect thereto.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40" w:top="270" w:right="479" w:bottom="1440" w:gutter="0" w:footer="0" w:header="0"/>
        </w:sectPr>
      </w:pPr>
    </w:p>
    <w:bookmarkStart w:id="175" w:name="page176"/>
    <w:bookmarkEnd w:id="175"/>
    <w:p>
      <w:pPr>
        <w:ind w:right="60" w:firstLine="436"/>
        <w:spacing w:after="0" w:line="254"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further acknowledges and agrees, and acknowledges its Subsidiaries’ understanding, that each Arranger, Co-Documentation Agent and Credit Party, together with its Affiliates, is a full-service securities or banking firm engaged in securities trading and brokerage activities as well as providing investment banking and other financial services. In the ordinary course of business, any Arranger, Co-Documentation Agent or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Arranger, Co-Documentation Agent or Credit Party or any of its customers, all rights in respect of such securities and financial instruments, including any voting rights, will be exercised by the holder of the rights, in its sole discretion.</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acknowledges and agrees, and acknowledges its Subsidiaries’ understanding, that each Arranger, Co-Documentation Agent and Credit Party and their respective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Arranger, Co-Documentation Agent or Credit Party will use confidential information obtained from the Borrower by virtue of the transactions contemplated by the Loan Documents or its other relationships with the Borrower in connection with the performance by such Arranger, Co-Documentation Agent or Credit Party of services for other companies, and no Arranger, Co-Documentation Agent or Credit Party will furnish any such information to other companies. The Borrower also acknowledges that no Arranger, Co-Documentation Agent or Credit Party has any obligation to use in connection with the transactions contemplated by the Loan Documents, or to furnish to the Borrower or any of its Subsidiaries, confidential information obtained from other companies.</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320" w:firstLine="436"/>
        <w:spacing w:after="0" w:line="282"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7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70" w:right="479" w:bottom="1440" w:gutter="0" w:footer="0" w:header="0"/>
        </w:sectPr>
      </w:pPr>
    </w:p>
    <w:bookmarkStart w:id="176" w:name="page177"/>
    <w:bookmarkEnd w:id="1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9.19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9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Marketing Consent</w:t>
      </w:r>
      <w:r>
        <w:rPr>
          <w:rFonts w:ascii="Times New Roman" w:cs="Times New Roman" w:eastAsia="Times New Roman" w:hAnsi="Times New Roman"/>
          <w:sz w:val="18"/>
          <w:szCs w:val="18"/>
          <w:color w:val="auto"/>
        </w:rPr>
        <w:t>. The Borrower hereby authorizes JPMorgan Chase Bank, N.A. and its affiliates (collectively, the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and each Lender, at their respective sole expense, and without any prior approval by the Borrower, (A) to disclose the existence of this Agreement, the size and type of the credit facilities, the parties to the Loan Documents, the Effective Date and any other information that is otherwise publicly available, in each case, to market data collectors, similar services providers to the lending industry, and service providers to the JPMorgan Parties, the Arrangers and the Lenders in connection with the administration, settlement and management of this Agreement and the other Loan Documents, in each case, to the extent the applicable JPMorgan Parties, Arranger or Lender advises such parties of the confidential nature of such information and instructs such parties to keep such information confidential and (B) in consultation with the Borrower, place customary advertisements in financial and other newspapers and periodicals or on a home page or similar place for dissemination of customary information on the Internet or worldwide web as such JPMorgan Parties, Arranger or Lender may choose, and circulate similar promotional materials, in the form of a “tombstone” or otherwise describing the names of the Borrower and its Affiliates (or any of them), and the type, size and Effective Date of the credit facilities, all at the expense of such JPMorgan Parties, Arranger or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prior written consent of the Borrower, such advertisements may not disclose any information other than the existence of this Agreement, the size and type of the credit facilities, the parties to the Loan Documents and the Effective Date and any other information that is otherwise publicly available (it being understood and agreed that the JPMorgan Parties may not disclose any such information prior to the Borrower’s filing of this Agreement with the SEC).</w:t>
      </w:r>
    </w:p>
    <w:p>
      <w:pPr>
        <w:spacing w:after="0" w:line="197"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77" w:name="page178"/>
    <w:bookmarkEnd w:id="17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BORROWER GUARANTEE</w:t>
      </w:r>
    </w:p>
    <w:p>
      <w:pPr>
        <w:spacing w:after="0" w:line="20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8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the Administrative Agent (or any of its Affiliates) or any applicable Lender (or any of its Affiliates) to assert any claim or demand or to enforce any right or remedy against any Subsidiary under the provisions of any Banking Services Agreement, any Swap Agreement or otherwise;</w:t>
      </w:r>
    </w:p>
    <w:p>
      <w:pPr>
        <w:spacing w:after="0" w:line="3" w:lineRule="exact"/>
        <w:rPr>
          <w:sz w:val="20"/>
          <w:szCs w:val="20"/>
          <w:color w:val="auto"/>
        </w:rPr>
      </w:pPr>
    </w:p>
    <w:p>
      <w:pPr>
        <w:ind w:left="4" w:hanging="4"/>
        <w:spacing w:after="0" w:line="251"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4"/>
          </w:cols>
          <w:pgMar w:left="436" w:top="270" w:right="459" w:bottom="1440" w:gutter="0" w:footer="0" w:header="0"/>
        </w:sectPr>
      </w:pPr>
    </w:p>
    <w:bookmarkStart w:id="178" w:name="page179"/>
    <w:bookmarkEnd w:id="178"/>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office, branch, affiliate or correspondent bank of the applicable Lender for such currency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Dollar amount of such Specified Ancillary Obligation on the date of payment as determined by the Administrative Agent) and/or in New York, Chicago or such other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19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payment in full in cash of all the Specified Ancillary Obligations owed by such Subsidiary to the applicable Lender (or its applicable Affiliates).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79" w:name="page180"/>
    <w:bookmarkEnd w:id="17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hereby absolutely, unconditionally and irrevocably undertakes to provide such funds or other support as may be needed from time to time by each Subsidiary Guarantor to honor all of its obligations under the Guaranty in respect of Specified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only be liable under this paragraph for the maximum amount of such liability that can be hereby incurred without rendering its obligations under this paragraph or otherwise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Nothing shall discharge or satisfy the liability of the Borrower hereunder except the full performance and payment in cash of the Secured Obligations (other than Unliquidated Obligations and Obligations expressly stated to survive such payment and termination) and all Letters of Credit shall have been expired or terminated (or shall have been cash collateralized or backstopped pursuant to arrangements reasonably satisfactory to the applicable Issuing Banks) and all LC Disbursements shall have been reimbursed.</w:t>
      </w:r>
    </w:p>
    <w:p>
      <w:pPr>
        <w:spacing w:after="0" w:line="1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840"/>
          </w:cols>
          <w:pgMar w:left="440" w:top="270" w:right="619" w:bottom="1440" w:gutter="0" w:footer="0" w:header="0"/>
        </w:sectPr>
      </w:pPr>
    </w:p>
    <w:bookmarkStart w:id="180" w:name="page181"/>
    <w:bookmarkEnd w:id="180"/>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NEUROCRINE BIOSCIENCES,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C. Abernethy</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C. Abernethy</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81" w:name="page182"/>
    <w:bookmarkEnd w:id="18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Issuing Bank and 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Yonas Zewdie</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Yonas Zewdie</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2" w:name="page183"/>
    <w:bookmarkEnd w:id="18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Tyler Morgan</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Tyler Morgan</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365"/>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3" w:name="page184"/>
    <w:bookmarkEnd w:id="18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Nicholas Bancroft</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Nicholas Bancroft</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Signer</w:t>
            </w:r>
          </w:p>
        </w:tc>
      </w:tr>
      <w:tr>
        <w:trPr>
          <w:trHeight w:val="365"/>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4" w:name="page185"/>
    <w:bookmarkEnd w:id="18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 BANK USA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Nicholas Merino</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Nicholas Merino</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5" w:name="page186"/>
    <w:bookmarkEnd w:id="18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Larkin Felker</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Larkin Felker</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6" w:name="page187"/>
    <w:bookmarkEnd w:id="18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Svetlana Lehmann</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Svetlana Lehmann</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VP</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7" w:name="page188"/>
    <w:bookmarkEnd w:id="18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DNB CAPITAL LLC</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Kristie Li</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Kristie Li</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32"/>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Meisner</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Meisner</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 Vice President</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8" w:name="page189"/>
    <w:bookmarkEnd w:id="18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Spruill</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Spruill</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89" w:name="page190"/>
    <w:bookmarkEnd w:id="18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Evan Venne</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Evan Venne</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90" w:name="page191"/>
    <w:bookmarkEnd w:id="19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Scott MacVicar</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MacVicar</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91" w:name="page192"/>
    <w:bookmarkEnd w:id="19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Anton Brykalin</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Anton Brykalin</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92" w:name="page193"/>
    <w:bookmarkEnd w:id="19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 as Lender</w:t>
      </w:r>
    </w:p>
    <w:p>
      <w:pPr>
        <w:spacing w:after="0" w:line="22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Ryan M. Black</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Ryan M. Black</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0020"/>
          </w:cols>
          <w:pgMar w:left="1440" w:top="266" w:right="4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Completes Acquisition of Soleno Therapeutics</w:t>
      </w:r>
    </w:p>
    <w:p>
      <w:pPr>
        <w:spacing w:after="0" w:line="135" w:lineRule="exact"/>
        <w:rPr>
          <w:sz w:val="20"/>
          <w:szCs w:val="20"/>
          <w:color w:val="auto"/>
        </w:rPr>
      </w:pPr>
    </w:p>
    <w:p>
      <w:pPr>
        <w:ind w:left="960" w:right="160" w:hanging="424"/>
        <w:spacing w:after="0" w:line="213"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Neurocrine’s rare disease portfolio with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the first and only approved treatment for hyperphagia in Prader-Willi syndrome</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recently launched therapy with strong early adoption and meaningful commercial potential</w:t>
      </w:r>
    </w:p>
    <w:p>
      <w:pPr>
        <w:spacing w:after="0" w:line="22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 xml:space="preserve">SAN DIEGO, May 18, 2026 – </w:t>
      </w:r>
      <w:r>
        <w:rPr>
          <w:rFonts w:ascii="Times New Roman" w:cs="Times New Roman" w:eastAsia="Times New Roman" w:hAnsi="Times New Roman"/>
          <w:sz w:val="18"/>
          <w:szCs w:val="18"/>
          <w:u w:val="single" w:color="auto"/>
          <w:color w:val="auto"/>
        </w:rPr>
        <w:t>Neurocrine Biosciences, Inc</w:t>
      </w:r>
      <w:r>
        <w:rPr>
          <w:rFonts w:ascii="Times New Roman" w:cs="Times New Roman" w:eastAsia="Times New Roman" w:hAnsi="Times New Roman"/>
          <w:sz w:val="18"/>
          <w:szCs w:val="18"/>
          <w:color w:val="auto"/>
        </w:rPr>
        <w:t>. (Nasdaq: NBIX) today announced the completion of its acquisition of Soleno Therapeutics, Inc., strengthening the company’s leadership in endocrinology and rare disease. The acquisition adds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(diazoxide choline) tablets, the first and only approved medicine for hyperphagia in adults and pediatric patients 4 years of age and older with Prader-Willi syndrome, to Neurocrine’s first-in-class commercial portfolio alongside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(valbenazine) and CRENESSITY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(crinecerfont).</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“Today marks an important advancement in Neurocrine’s mission to deliver life-changing treatments for patients with significant unmet needs,” said Kyle W. Gano, Ph.D., Chief Executive Officer, Neurocrine Biosciences. “We welcome our Soleno colleagues to Neurocrine and share their deep commitment to the Prader-Willi syndrome community, and we look forward to working together to make VYKAT XR available to more patients and their families.”</w:t>
      </w:r>
    </w:p>
    <w:p>
      <w:pPr>
        <w:spacing w:after="0" w:line="18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Prader-Willi syndrome (PWS) is a rare genetic neurodevelopmental disorder caused by an abnormality in gene expression on chromosome 15 that affects about 10,000 patients in the United States. The disease is characterized by neurological, behavioral, and metabolic dysfunction. Its defining feature is hyperphagia, a chronic, life-threatening condition marked by a persistent hunger that drives compulsive, food-seeking behavior. Individuals with PWS also commonly experience cognitive impairment and a range of psychiatric and behavioral challenges. Together, these symptoms can severely diminish quality of life for individuals with PWS and their families, with hyperphagia driving significant morbidity and mortality.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Neurocrine initially announced </w:t>
      </w:r>
      <w:r>
        <w:rPr>
          <w:rFonts w:ascii="Times New Roman" w:cs="Times New Roman" w:eastAsia="Times New Roman" w:hAnsi="Times New Roman"/>
          <w:sz w:val="18"/>
          <w:szCs w:val="18"/>
          <w:u w:val="single" w:color="auto"/>
          <w:color w:val="auto"/>
        </w:rPr>
        <w:t>the transaction</w:t>
      </w:r>
      <w:r>
        <w:rPr>
          <w:rFonts w:ascii="Times New Roman" w:cs="Times New Roman" w:eastAsia="Times New Roman" w:hAnsi="Times New Roman"/>
          <w:sz w:val="18"/>
          <w:szCs w:val="18"/>
          <w:color w:val="auto"/>
        </w:rPr>
        <w:t xml:space="preserve"> – representing a total equity value of $2.9 billion – on April 6,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Neurocrine completed the cash tender offer through a subsidiary for all the outstanding shares of common stock of Soleno at a purchase price of $53.00 per share, without interest, subject to any applicable withholding taxes.</w:t>
      </w:r>
    </w:p>
    <w:p>
      <w:pPr>
        <w:sectPr>
          <w:pgSz w:w="11900" w:h="16838" w:orient="portrait"/>
          <w:cols w:equalWidth="0" w:num="1">
            <w:col w:w="11020"/>
          </w:cols>
          <w:pgMar w:left="440" w:top="117" w:right="439" w:bottom="1440" w:gutter="0" w:footer="0" w:header="0"/>
        </w:sectPr>
      </w:pPr>
    </w:p>
    <w:bookmarkStart w:id="194" w:name="page195"/>
    <w:bookmarkEnd w:id="19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tender offer expiration at one minute after 11:59 p.m. EDT on May 15, 2026, 46,356,114 shares of Soleno common stock were validly tendered and not validly withdrawn, representing approximately 88.9% of the total number of Soleno’s issued and outstanding shares of common stock as of such date and time. In accordance with the terms of the tender offer, all such shares have been accepted for payment.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its acceptance of the tendered shares, Neurocrine completed its acquisition of Soleno through the merger of a direct wholly owned subsidiary of Neurocrine with and into Soleno, pursuant to Section 251(h) of the Delaware General Corporation Law on May 18, 2026, with Soleno continuing as the surviving corporation and becoming a direct, wholly owned subsidiary of Neurocrine. All remaining shares of Soleno common stock that were not validly tendered in the tender offer were converted into the right to receive the same $53 per share in cash, without interest, subject to any applicable withholding taxes, that would have been paid had such shares been validly tendered in the tender offer. As of May 18, 2026, Soleno’s common stock will no longer be listed or traded on the Nasdaq Capital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served as exclusive financial advisor, and Cooley LLP served as legal advisor to Neurocrine. Centerview Partners</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LLC and Guggenheim Securities, LLC served as financial advisors, and Wilson Sonsini Goodrich &amp; Rosati, Professional Corporation served as legal counsel to Soleno.</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Prader-Willi syndrome (PWS) is a rare genetic neurodevelopmental disorder caused by an abnormality in gene expression on chromosome 15. The Prader-Willi Syndrome Association USA estimates that PWS occurs in one in every 15,000 live births. The defining symptom of PWS is hyperphagia, a chronic and life-threatening condition characterized by an intense persistent sensation of hunger accompanied by food preoccupations, an extreme drive to consume food, food-related behavior problems, and a lack of normal satiety, which can severely diminish the quality of life for individuals with PWS and their families. Hyperphagia can lead to significant mortality (e.g., stomach rupture, choking, accidental death due to food seeking behavior) and longer-term co-morbidities such as diabetes, obesity, and cardiovascular disease.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INGREZZA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(valbenazine)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auto"/>
        </w:rPr>
        <w:t>additional safety information</w:t>
      </w:r>
      <w:r>
        <w:rPr>
          <w:rFonts w:ascii="Times New Roman" w:cs="Times New Roman" w:eastAsia="Times New Roman" w:hAnsi="Times New Roman"/>
          <w:sz w:val="18"/>
          <w:szCs w:val="18"/>
          <w:color w:val="auto"/>
        </w:rPr>
        <w:t xml:space="preserv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including Boxed Warning, and </w:t>
      </w:r>
      <w:r>
        <w:rPr>
          <w:rFonts w:ascii="Times New Roman" w:cs="Times New Roman" w:eastAsia="Times New Roman" w:hAnsi="Times New Roman"/>
          <w:sz w:val="18"/>
          <w:szCs w:val="18"/>
          <w:u w:val="single" w:color="auto"/>
          <w:color w:val="auto"/>
        </w:rPr>
        <w:t>Medication Guide</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CRENESSITY</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(crinecerfont)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auto"/>
        </w:rPr>
        <w:t>additional safety information</w:t>
      </w:r>
      <w:r>
        <w:rPr>
          <w:rFonts w:ascii="Times New Roman" w:cs="Times New Roman" w:eastAsia="Times New Roman" w:hAnsi="Times New Roman"/>
          <w:sz w:val="18"/>
          <w:szCs w:val="18"/>
          <w:color w:val="auto"/>
        </w:rPr>
        <w:t xml:space="preserve"> and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VYKAT XR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was approved by the U.S. Food and Drug Administration (FDA) on March 26, 2025, and is now commercially available to U.S. patients.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is indicated for the treatment of hyperphagia in adults and pediatric patients 4 years of age and older with Prader-Willi syndrome (PWS).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VYKAT XR (diazoxide choline) extended-release tablets is indicated for the treatment of hyperphagia in adults and pediatric patients 4 years of age and older with Prader-Willi syndrome (PWS).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VYKAT XR is contraindicated in patients who have a known hypersensitivity to diazoxide, other components of VYKAT XR, or to thiazides.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Hyperglycemia</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Hyperglycemia, including diabetic ketoacidosis, has been reported. Before initiating VYKAT XR, test fasting plasma glucose (FPG) and HbA1c; optimize blood glucose in patients who have hyperglycemia. During treatment, regularly monitor fasting glucose (FPG or fasting blood glucose) and HbA1c. Monitor fasting glucose more frequently during the first few weeks of treatment in patients with risk factors for hyperglycemia.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Fluid Overload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Edema, including severe reactions associated with fluid overload, has been reported. Monitor for signs or symptoms of edema or fluid overload.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has not been studied in patients with compromised cardiac reserve and should be used with caution in these patients.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adverse reactions (incidence ≥10% and at least 2% greater than placebo) included hypertrichosis, edema, hyperglycemia, and rash.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the full </w:t>
      </w:r>
      <w:r>
        <w:rPr>
          <w:rFonts w:ascii="Times New Roman" w:cs="Times New Roman" w:eastAsia="Times New Roman" w:hAnsi="Times New Roman"/>
          <w:sz w:val="18"/>
          <w:szCs w:val="18"/>
          <w:u w:val="single" w:color="auto"/>
          <w:color w:val="auto"/>
        </w:rPr>
        <w:t>Prescribing Information, including Medication Guide</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Neurocrine Biosciences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Neurocrine Biosciences is a leading biopharmaceutical company with a simple purpose: to relieve suffering for people with great needs. We are dedicated to discovering, developing and commercializing life-changing treatments for patients with under-addressed neurological, psychiatric, endocrine and immunological disorders. The company’s diverse portfolio includes FDA-approved treatments for tardive dyskinesia, chorea associated with Huntington’s disease, classic congenital adrenal hyperplasia, hyperphagia in patients with Prader-Willi syndrome, endometriosis* and uterine fibroids*, as well as a robust pipeline including multiple compounds in mid- to late-phase clinical development across our core therapeutic areas. For more than three decades, we have applied our unique insight into neuroscience and the interconnections between brain and body systems to treat complex conditions. We relentlessly pursue medicines to ease the burden of debilitating diseases and disorders, because you deserve brave science. For more information, visit </w:t>
      </w:r>
      <w:r>
        <w:rPr>
          <w:rFonts w:ascii="Times New Roman" w:cs="Times New Roman" w:eastAsia="Times New Roman" w:hAnsi="Times New Roman"/>
          <w:sz w:val="18"/>
          <w:szCs w:val="18"/>
          <w:u w:val="single" w:color="auto"/>
          <w:color w:val="auto"/>
        </w:rPr>
        <w:t>neurocrine.com</w:t>
      </w:r>
      <w:r>
        <w:rPr>
          <w:rFonts w:ascii="Times New Roman" w:cs="Times New Roman" w:eastAsia="Times New Roman" w:hAnsi="Times New Roman"/>
          <w:sz w:val="18"/>
          <w:szCs w:val="18"/>
          <w:color w:val="auto"/>
        </w:rPr>
        <w:t xml:space="preserve">, and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 collaboration with AbbVie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NEUROCRINE, the NEUROCRINE BIOSCIENCES Logo, YOU DESERVE BRAVE SCIENCE, INGREZZA and CRENESSITY are registered trademarks of Neurocrine Biosciences, Inc. SOLENO is a registered trademark of Soleno Therapeutics, Inc. VYKAT is a trademark of Soleno Therapeutics,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communication contains forward-looking statements that involve risks and uncertainties relating to future events and the future performance of Neurocrine, including statements regarding Neurocrine’s acquisition of Soleno, the prospective benefits of the acquisition; Neurocrine’s strategy, plans, objectives, expectations (financial or otherwise) and intentions with respect to its future financial results and growth potential, anticipated product portfolio, and development programs; the estimated occurrence of PWS; the estimated U.S. population of PWS patients;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“anticipate,” “believe,” “could,” “estimate,” “expect,” “future,” “intend,” “may,” “opportunity,” “plan,” “potential,” “project,” “seek,” “should,” “strategy,” “will,” “would” or other similar words and expressions indicating future results. Risks that may cause these forward-looking statements to be inaccurate include, without limitation: risks related to Neurocrine’s ability to realize the anticipated benefits of the acquisition, including the possibility that the expected benefits from the acquisition will not be realized or will not be realized within the expected time period and that Neurocrine will not be able to integrate Soleno successfully or that such integration may be more difficult, time-consuming or costly than expected; disruption from the</w:t>
      </w:r>
    </w:p>
    <w:p>
      <w:pPr>
        <w:sectPr>
          <w:pgSz w:w="11900" w:h="16838" w:orient="portrait"/>
          <w:cols w:equalWidth="0" w:num="1">
            <w:col w:w="10980"/>
          </w:cols>
          <w:pgMar w:left="440" w:top="266" w:right="479" w:bottom="1440" w:gutter="0" w:footer="0" w:header="0"/>
        </w:sectPr>
      </w:pPr>
    </w:p>
    <w:bookmarkStart w:id="197" w:name="page198"/>
    <w:bookmarkEnd w:id="197"/>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making it more difficult to conduct business as usual or maintain relationships with employees, customers, suppliers, other business partners or governmental entities; negative effects of the consummation of the acquisition on the market price of Neurocrine’s common stock and/or Neurocrine’s operating results, including the possibility that if Neurocrine does not achieve the perceived benefits of the acquisition as rapidly or to the extent anticipated by financial analysts or investors, the market price of Neurocrine’s common stock could decline; significant transaction and integration costs; unknown or inestimable liabilities; the risk of litigation and/or regulatory actions related to the acquisition; Neurocrine’s ability to effectively commercialize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(diazoxide choline); the degree and pace of market uptake of VYKAT XR; obtaining and maintaining adequate coverage and reimbursement for Neurocrine’s products, including VYKAT XR; the time-consuming and uncertain regulatory approval process; the costly and time-consuming pharmaceutical product development process and the uncertainty of clinical success, including risks related to failure or delays in successfully initiating or completing clinical trials; global economic, financial, and healthcare system disruptions and the current and potential future negative impacts to Neurocrine’s business operations and financial results; the sufficiency of Neurocrine’s cash flows and capital resources; Neurocrine’s ability to achieve targeted or expected future financial performance and results and the uncertainty of future tax, accounting and other provisions and estimates; and other risks and uncertainties affecting Neurocrine, including those described from time to time under the caption “Risk Factors” and elsewhere in Neurocrine’s filings and reports with the U.S. Securities and Exchange Commission (“SEC”), including Neurocrine’s Quarterly Report on Form 10-Q for the period ended March 31, 2026. Any forward-looking statements are made based on the current beliefs and judgments of Neurocrine’s management team, and the reader is cautioned not to rely on any forward-looking statements made by Neurocrine. Except as required by law, Neurocrine does not undertake any obligation to update (publicly or otherwise) any forward-looking statement, including without limitation any financial projection or guidance, whether as a result of new information, future events, or otherwise.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1)"/>
      <w:numFmt w:val="lowerRoman"/>
      <w:start w:val="1"/>
    </w:lvl>
  </w:abstractNum>
  <w:abstractNum w:abstractNumId="2">
    <w:nsid w:val="2708C9AF"/>
    <w:multiLevelType w:val="hybridMultilevel"/>
    <w:lvl w:ilvl="0">
      <w:lvlJc w:val="left"/>
      <w:lvlText w:val="(%1)"/>
      <w:numFmt w:val="lowerLetter"/>
      <w:start w:val="1"/>
    </w:lvl>
  </w:abstractNum>
  <w:abstractNum w:abstractNumId="3">
    <w:nsid w:val="5B25ACE2"/>
    <w:multiLevelType w:val="hybridMultilevel"/>
    <w:lvl w:ilvl="0">
      <w:lvlJc w:val="left"/>
      <w:lvlText w:val="(%1)"/>
      <w:numFmt w:val="lowerLetter"/>
      <w:start w:val="2"/>
    </w:lvl>
  </w:abstractNum>
  <w:abstractNum w:abstractNumId="4">
    <w:nsid w:val="175DFCF0"/>
    <w:multiLevelType w:val="hybridMultilevel"/>
    <w:lvl w:ilvl="0">
      <w:lvlJc w:val="left"/>
      <w:lvlText w:val="(%1)"/>
      <w:numFmt w:val="lowerLetter"/>
      <w:start w:val="4"/>
    </w:lvl>
  </w:abstractNum>
  <w:abstractNum w:abstractNumId="5">
    <w:nsid w:val="4F97E3E4"/>
    <w:multiLevelType w:val="hybridMultilevel"/>
    <w:lvl w:ilvl="0">
      <w:lvlJc w:val="left"/>
      <w:lvlText w:val="*"/>
      <w:numFmt w:val="bullet"/>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
    <w:nsid w:val="5915FF32"/>
    <w:multiLevelType w:val="hybridMultilevel"/>
    <w:lvl w:ilvl="0">
      <w:lvlJc w:val="left"/>
      <w:lvlText w:val="%1"/>
      <w:numFmt w:val="lowerLetter"/>
      <w:start w:val="1"/>
    </w:lvl>
    <w:lvl w:ilvl="1">
      <w:lvlJc w:val="left"/>
      <w:lvlText w:val="(%2)"/>
      <w:numFmt w:val="decimal"/>
      <w:start w:val="30"/>
    </w:lvl>
    <w:lvl w:ilvl="2">
      <w:lvlJc w:val="left"/>
      <w:lvlText w:val="%3"/>
      <w:numFmt w:val="upperLetter"/>
      <w:start w:val="1"/>
    </w:lvl>
  </w:abstractNum>
  <w:abstractNum w:abstractNumId="9">
    <w:nsid w:val="56438D15"/>
    <w:multiLevelType w:val="hybridMultilevel"/>
    <w:lvl w:ilvl="0">
      <w:lvlJc w:val="left"/>
      <w:lvlText w:val="(%1)"/>
      <w:numFmt w:val="lowerLetter"/>
      <w:start w:val="25"/>
    </w:lvl>
    <w:lvl w:ilvl="1">
      <w:lvlJc w:val="left"/>
      <w:lvlText w:val="%2"/>
      <w:numFmt w:val="decimal"/>
      <w:start w:val="1"/>
    </w:lvl>
    <w:lvl w:ilvl="2">
      <w:lvlJc w:val="left"/>
      <w:lvlText w:val="%3"/>
      <w:numFmt w:val="upperLetter"/>
      <w:start w:val="1"/>
    </w:lvl>
  </w:abstractNum>
  <w:abstractNum w:abstractNumId="10">
    <w:nsid w:val="519E3149"/>
    <w:multiLevelType w:val="hybridMultilevel"/>
    <w:lvl w:ilvl="0">
      <w:lvlJc w:val="left"/>
      <w:lvlText w:val="(%1)"/>
      <w:numFmt w:val="lowerLetter"/>
      <w:start w:val="1"/>
    </w:lvl>
  </w:abstractNum>
  <w:abstractNum w:abstractNumId="11">
    <w:nsid w:val="2C6E4AFD"/>
    <w:multiLevelType w:val="hybridMultilevel"/>
    <w:lvl w:ilvl="0">
      <w:lvlJc w:val="left"/>
      <w:lvlText w:val="(%1)"/>
      <w:numFmt w:val="decimal"/>
      <w:start w:val="1"/>
    </w:lvl>
  </w:abstractNum>
  <w:abstractNum w:abstractNumId="12">
    <w:nsid w:val="17A1B582"/>
    <w:multiLevelType w:val="hybridMultilevel"/>
    <w:lvl w:ilvl="0">
      <w:lvlJc w:val="left"/>
      <w:lvlText w:val="(%1)"/>
      <w:numFmt w:val="decimal"/>
      <w:start w:val="1"/>
    </w:lvl>
  </w:abstractNum>
  <w:abstractNum w:abstractNumId="13">
    <w:nsid w:val="4DF72E4E"/>
    <w:multiLevelType w:val="hybridMultilevel"/>
    <w:lvl w:ilvl="0">
      <w:lvlJc w:val="left"/>
      <w:lvlText w:val="(%1)"/>
      <w:numFmt w:val="decimal"/>
      <w:start w:val="1"/>
    </w:lvl>
  </w:abstractNum>
  <w:abstractNum w:abstractNumId="14">
    <w:nsid w:val="5046B5A9"/>
    <w:multiLevelType w:val="hybridMultilevel"/>
    <w:lvl w:ilvl="0">
      <w:lvlJc w:val="left"/>
      <w:lvlText w:val="%1"/>
      <w:numFmt w:val="lowerLetter"/>
      <w:start w:val="1"/>
    </w:lvl>
    <w:lvl w:ilvl="1">
      <w:lvlJc w:val="left"/>
      <w:lvlText w:val="(%2)"/>
      <w:numFmt w:val="lowerLetter"/>
      <w:start w:val="1"/>
    </w:lvl>
  </w:abstractNum>
  <w:abstractNum w:abstractNumId="15">
    <w:nsid w:val="5D888A08"/>
    <w:multiLevelType w:val="hybridMultilevel"/>
    <w:lvl w:ilvl="0">
      <w:lvlJc w:val="left"/>
      <w:lvlText w:val="(%1)"/>
      <w:numFmt w:val="lowerLetter"/>
      <w:start w:val="35"/>
    </w:lvl>
    <w:lvl w:ilvl="1">
      <w:lvlJc w:val="left"/>
      <w:lvlText w:val="(%2)"/>
      <w:numFmt w:val="lowerLetter"/>
      <w:start w:val="3"/>
    </w:lvl>
  </w:abstractNum>
  <w:abstractNum w:abstractNumId="16">
    <w:nsid w:val="2A082C70"/>
    <w:multiLevelType w:val="hybridMultilevel"/>
    <w:lvl w:ilvl="0">
      <w:lvlJc w:val="left"/>
      <w:lvlText w:val="(%1)"/>
      <w:numFmt w:val="lowerLetter"/>
      <w:start w:val="35"/>
    </w:lvl>
    <w:lvl w:ilvl="1">
      <w:lvlJc w:val="left"/>
      <w:lvlText w:val="(%2)"/>
      <w:numFmt w:val="lowerLetter"/>
      <w:start w:val="7"/>
    </w:lvl>
  </w:abstractNum>
  <w:abstractNum w:abstractNumId="17">
    <w:nsid w:val="5EC6AFD4"/>
    <w:multiLevelType w:val="hybridMultilevel"/>
    <w:lvl w:ilvl="0">
      <w:lvlJc w:val="left"/>
      <w:lvlText w:val="(%1)"/>
      <w:numFmt w:val="lowerLetter"/>
      <w:start w:val="1"/>
    </w:lvl>
    <w:lvl w:ilvl="1">
      <w:lvlJc w:val="left"/>
      <w:lvlText w:val="(%2)"/>
      <w:numFmt w:val="lowerLetter"/>
      <w:start w:val="8"/>
    </w:lvl>
  </w:abstractNum>
  <w:abstractNum w:abstractNumId="18">
    <w:nsid w:val="19E21BB2"/>
    <w:multiLevelType w:val="hybridMultilevel"/>
    <w:lvl w:ilvl="0">
      <w:lvlJc w:val="left"/>
      <w:lvlText w:val="(%1)"/>
      <w:numFmt w:val="lowerLetter"/>
      <w:start w:val="5"/>
    </w:lvl>
  </w:abstractNum>
  <w:abstractNum w:abstractNumId="19">
    <w:nsid w:val="75E0858A"/>
    <w:multiLevelType w:val="hybridMultilevel"/>
    <w:lvl w:ilvl="0">
      <w:lvlJc w:val="left"/>
      <w:lvlText w:val="(%1)"/>
      <w:numFmt w:val="lowerLetter"/>
      <w:start w:val="25"/>
    </w:lvl>
  </w:abstractNum>
  <w:abstractNum w:abstractNumId="20">
    <w:nsid w:val="57A61A29"/>
    <w:multiLevelType w:val="hybridMultilevel"/>
    <w:lvl w:ilvl="0">
      <w:lvlJc w:val="left"/>
      <w:lvlText w:val="(%1)"/>
      <w:numFmt w:val="lowerLetter"/>
      <w:start w:val="2"/>
    </w:lvl>
  </w:abstractNum>
  <w:abstractNum w:abstractNumId="21">
    <w:nsid w:val="5399C654"/>
    <w:multiLevelType w:val="hybridMultilevel"/>
    <w:lvl w:ilvl="0">
      <w:lvlJc w:val="left"/>
      <w:lvlText w:val="(%1)"/>
      <w:numFmt w:val="lowerLetter"/>
      <w:start w:val="1"/>
    </w:lvl>
    <w:lvl w:ilvl="1">
      <w:lvlJc w:val="left"/>
      <w:lvlText w:val="(%2)"/>
      <w:numFmt w:val="lowerLetter"/>
      <w:start w:val="9"/>
    </w:lvl>
  </w:abstractNum>
  <w:abstractNum w:abstractNumId="22">
    <w:nsid w:val="20EE1348"/>
    <w:multiLevelType w:val="hybridMultilevel"/>
    <w:lvl w:ilvl="0">
      <w:lvlJc w:val="left"/>
      <w:lvlText w:val="(%1)"/>
      <w:numFmt w:val="lowerRoman"/>
      <w:start w:val="2"/>
    </w:lvl>
  </w:abstractNum>
  <w:abstractNum w:abstractNumId="23">
    <w:nsid w:val="4427069A"/>
    <w:multiLevelType w:val="hybridMultilevel"/>
    <w:lvl w:ilvl="0">
      <w:lvlJc w:val="left"/>
      <w:lvlText w:val="%1"/>
      <w:numFmt w:val="lowerRoman"/>
      <w:start w:val="1"/>
    </w:lvl>
    <w:lvl w:ilvl="1">
      <w:lvlJc w:val="left"/>
      <w:lvlText w:val="(%2)"/>
      <w:numFmt w:val="lowerRoman"/>
      <w:start w:val="10"/>
    </w:lvl>
  </w:abstractNum>
  <w:abstractNum w:abstractNumId="24">
    <w:nsid w:val="B37E80A"/>
    <w:multiLevelType w:val="hybridMultilevel"/>
    <w:lvl w:ilvl="0">
      <w:lvlJc w:val="left"/>
      <w:lvlText w:val="(%1)"/>
      <w:numFmt w:val="lowerRoman"/>
      <w:start w:val="2"/>
    </w:lvl>
    <w:lvl w:ilvl="1">
      <w:lvlJc w:val="left"/>
      <w:lvlText w:val="%2"/>
      <w:numFmt w:val="lowerRoman"/>
      <w:start w:val="1"/>
    </w:lvl>
  </w:abstractNum>
  <w:abstractNum w:abstractNumId="25">
    <w:nsid w:val="2157F6BC"/>
    <w:multiLevelType w:val="hybridMultilevel"/>
    <w:lvl w:ilvl="0">
      <w:lvlJc w:val="left"/>
      <w:lvlText w:val="(%1)"/>
      <w:numFmt w:val="lowerRoman"/>
      <w:start w:val="20"/>
    </w:lvl>
  </w:abstractNum>
  <w:abstractNum w:abstractNumId="26">
    <w:nsid w:val="704E1DD5"/>
    <w:multiLevelType w:val="hybridMultilevel"/>
    <w:lvl w:ilvl="0">
      <w:lvlJc w:val="left"/>
      <w:lvlText w:val="(%1)"/>
      <w:numFmt w:val="lowerLetter"/>
      <w:start w:val="2"/>
    </w:lvl>
    <w:lvl w:ilvl="1">
      <w:lvlJc w:val="left"/>
      <w:lvlText w:val="(%2)"/>
      <w:numFmt w:val="lowerRoman"/>
      <w:start w:val="1"/>
    </w:lvl>
  </w:abstractNum>
  <w:abstractNum w:abstractNumId="27">
    <w:nsid w:val="57D2F10E"/>
    <w:multiLevelType w:val="hybridMultilevel"/>
    <w:lvl w:ilvl="0">
      <w:lvlJc w:val="left"/>
      <w:lvlText w:val="(%1)"/>
      <w:numFmt w:val="lowerRoman"/>
      <w:start w:val="1"/>
    </w:lvl>
  </w:abstractNum>
  <w:abstractNum w:abstractNumId="28">
    <w:nsid w:val="BFFAE18"/>
    <w:multiLevelType w:val="hybridMultilevel"/>
    <w:lvl w:ilvl="0">
      <w:lvlJc w:val="left"/>
      <w:lvlText w:val="(%1)"/>
      <w:numFmt w:val="lowerRoman"/>
      <w:start w:val="1"/>
    </w:lvl>
  </w:abstractNum>
  <w:abstractNum w:abstractNumId="29">
    <w:nsid w:val="E3E47A8"/>
    <w:multiLevelType w:val="hybridMultilevel"/>
    <w:lvl w:ilvl="0">
      <w:lvlJc w:val="left"/>
      <w:lvlText w:val="(%1)"/>
      <w:numFmt w:val="lowerRoman"/>
      <w:start w:val="1"/>
    </w:lvl>
  </w:abstractNum>
  <w:abstractNum w:abstractNumId="30">
    <w:nsid w:val="2E48F044"/>
    <w:multiLevelType w:val="hybridMultilevel"/>
    <w:lvl w:ilvl="0">
      <w:lvlJc w:val="left"/>
      <w:lvlText w:val="(%1)"/>
      <w:numFmt w:val="lowerLetter"/>
      <w:start w:val="1"/>
    </w:lvl>
  </w:abstractNum>
  <w:abstractNum w:abstractNumId="31">
    <w:nsid w:val="49D0FEAC"/>
    <w:multiLevelType w:val="hybridMultilevel"/>
    <w:lvl w:ilvl="0">
      <w:lvlJc w:val="left"/>
      <w:lvlText w:val="(%1)"/>
      <w:numFmt w:val="lowerRoman"/>
      <w:start w:val="10"/>
    </w:lvl>
  </w:abstractNum>
  <w:abstractNum w:abstractNumId="32">
    <w:nsid w:val="4BEE5A5B"/>
    <w:multiLevelType w:val="hybridMultilevel"/>
    <w:lvl w:ilvl="0">
      <w:lvlJc w:val="left"/>
      <w:lvlText w:val="(%1)"/>
      <w:numFmt w:val="decimal"/>
      <w:start w:val="11"/>
    </w:lvl>
  </w:abstractNum>
  <w:abstractNum w:abstractNumId="33">
    <w:nsid w:val="5551B9F3"/>
    <w:multiLevelType w:val="hybridMultilevel"/>
    <w:lvl w:ilvl="0">
      <w:lvlJc w:val="left"/>
      <w:lvlText w:val="(%1)"/>
      <w:numFmt w:val="decimal"/>
      <w:start w:val="13"/>
    </w:lvl>
  </w:abstractNum>
  <w:abstractNum w:abstractNumId="34">
    <w:nsid w:val="24F6AB8E"/>
    <w:multiLevelType w:val="hybridMultilevel"/>
    <w:lvl w:ilvl="0">
      <w:lvlJc w:val="left"/>
      <w:lvlText w:val="(%1)"/>
      <w:numFmt w:val="lowerRoman"/>
      <w:start w:val="3"/>
    </w:lvl>
  </w:abstractNum>
  <w:abstractNum w:abstractNumId="35">
    <w:nsid w:val="634C574C"/>
    <w:multiLevelType w:val="hybridMultilevel"/>
    <w:lvl w:ilvl="0">
      <w:lvlJc w:val="left"/>
      <w:lvlText w:val="(%1)"/>
      <w:numFmt w:val="lowerLetter"/>
      <w:start w:val="2"/>
    </w:lvl>
  </w:abstractNum>
  <w:abstractNum w:abstractNumId="36">
    <w:nsid w:val="24E99DD7"/>
    <w:multiLevelType w:val="hybridMultilevel"/>
    <w:lvl w:ilvl="0">
      <w:lvlJc w:val="left"/>
      <w:lvlText w:val="(%1)"/>
      <w:numFmt w:val="lowerRoman"/>
      <w:start w:val="1"/>
    </w:lvl>
  </w:abstractNum>
  <w:abstractNum w:abstractNumId="37">
    <w:nsid w:val="2A31B62D"/>
    <w:multiLevelType w:val="hybridMultilevel"/>
    <w:lvl w:ilvl="0">
      <w:lvlJc w:val="left"/>
      <w:lvlText w:val="§"/>
      <w:numFmt w:val="bullet"/>
      <w:start w:val="1"/>
    </w:lvl>
  </w:abstractNum>
  <w:abstractNum w:abstractNumId="38">
    <w:nsid w:val="1849C29B"/>
    <w:multiLevelType w:val="hybridMultilevel"/>
    <w:lvl w:ilvl="0">
      <w:lvlJc w:val="left"/>
      <w:lvlText w:val="%1"/>
      <w:numFmt w:val="lowerLetter"/>
      <w:start w:val="1"/>
    </w:lvl>
    <w:lvl w:ilvl="1">
      <w:lvlJc w:val="left"/>
      <w:lvlText w:val="(%2)"/>
      <w:numFmt w:val="lowerLetter"/>
      <w:start w:val="1"/>
    </w:lvl>
  </w:abstractNum>
  <w:abstractNum w:abstractNumId="39">
    <w:nsid w:val="7DFF9D09"/>
    <w:multiLevelType w:val="hybridMultilevel"/>
    <w:lvl w:ilvl="0">
      <w:lvlJc w:val="left"/>
      <w:lvlText w:val="(%1)"/>
      <w:numFmt w:val="lowerLetter"/>
      <w:start w:val="25"/>
    </w:lvl>
    <w:lvl w:ilvl="1">
      <w:lvlJc w:val="left"/>
      <w:lvlText w:val="%2"/>
      <w:numFmt w:val="lowerLetter"/>
      <w:start w:val="1"/>
    </w:lvl>
  </w:abstractNum>
  <w:abstractNum w:abstractNumId="40">
    <w:nsid w:val="754342"/>
    <w:multiLevelType w:val="hybridMultilevel"/>
    <w:lvl w:ilvl="0">
      <w:lvlJc w:val="left"/>
      <w:lvlText w:val="(%1)"/>
      <w:numFmt w:val="lowerRoman"/>
      <w:start w:val="1"/>
    </w:lvl>
  </w:abstractNum>
  <w:abstractNum w:abstractNumId="41">
    <w:nsid w:val="69E7F3E5"/>
    <w:multiLevelType w:val="hybridMultilevel"/>
    <w:lvl w:ilvl="0">
      <w:lvlJc w:val="left"/>
      <w:lvlText w:val="(%1)"/>
      <w:numFmt w:val="lowerRoman"/>
      <w:start w:val="2"/>
    </w:lvl>
  </w:abstractNum>
  <w:abstractNum w:abstractNumId="42">
    <w:nsid w:val="2A6DE806"/>
    <w:multiLevelType w:val="hybridMultilevel"/>
    <w:lvl w:ilvl="0">
      <w:lvlJc w:val="left"/>
      <w:lvlText w:val="(%1)"/>
      <w:numFmt w:val="lowerRoman"/>
      <w:start w:val="4"/>
    </w:lvl>
  </w:abstractNum>
  <w:abstractNum w:abstractNumId="43">
    <w:nsid w:val="1816F8C4"/>
    <w:multiLevelType w:val="hybridMultilevel"/>
    <w:lvl w:ilvl="0">
      <w:lvlJc w:val="left"/>
      <w:lvlText w:val="(%1)"/>
      <w:numFmt w:val="lowerRoman"/>
      <w:start w:val="2"/>
    </w:lvl>
  </w:abstractNum>
  <w:abstractNum w:abstractNumId="44">
    <w:nsid w:val="37DF2233"/>
    <w:multiLevelType w:val="hybridMultilevel"/>
    <w:lvl w:ilvl="0">
      <w:lvlJc w:val="left"/>
      <w:lvlText w:val="(%1)"/>
      <w:numFmt w:val="lowerLetter"/>
      <w:start w:val="1"/>
    </w:lvl>
  </w:abstractNum>
  <w:abstractNum w:abstractNumId="45">
    <w:nsid w:val="7AB49DAF"/>
    <w:multiLevelType w:val="hybridMultilevel"/>
    <w:lvl w:ilvl="0">
      <w:lvlJc w:val="left"/>
      <w:lvlText w:val="%1"/>
      <w:numFmt w:val="lowerLetter"/>
      <w:start w:val="1"/>
    </w:lvl>
    <w:lvl w:ilvl="1">
      <w:lvlJc w:val="left"/>
      <w:lvlText w:val="(%2)"/>
      <w:numFmt w:val="lowerLetter"/>
      <w:start w:val="4"/>
    </w:lvl>
  </w:abstractNum>
  <w:abstractNum w:abstractNumId="46">
    <w:nsid w:val="759F82CD"/>
    <w:multiLevelType w:val="hybridMultilevel"/>
    <w:lvl w:ilvl="0">
      <w:lvlJc w:val="left"/>
      <w:lvlText w:val="(%1)"/>
      <w:numFmt w:val="lowerLetter"/>
      <w:start w:val="9"/>
    </w:lvl>
    <w:lvl w:ilvl="1">
      <w:lvlJc w:val="left"/>
      <w:lvlText w:val="%2"/>
      <w:numFmt w:val="lowerLetter"/>
      <w:start w:val="1"/>
    </w:lvl>
  </w:abstractNum>
  <w:abstractNum w:abstractNumId="47">
    <w:nsid w:val="61E74EA3"/>
    <w:multiLevelType w:val="hybridMultilevel"/>
    <w:lvl w:ilvl="0">
      <w:lvlJc w:val="left"/>
      <w:lvlText w:val="(%1)"/>
      <w:numFmt w:val="lowerLetter"/>
      <w:start w:val="15"/>
    </w:lvl>
  </w:abstractNum>
  <w:abstractNum w:abstractNumId="48">
    <w:nsid w:val="597B4D84"/>
    <w:multiLevelType w:val="hybridMultilevel"/>
    <w:lvl w:ilvl="0">
      <w:lvlJc w:val="left"/>
      <w:lvlText w:val="(%1)"/>
      <w:numFmt w:val="lowerRoman"/>
      <w:start w:val="2"/>
    </w:lvl>
  </w:abstractNum>
  <w:abstractNum w:abstractNumId="49">
    <w:nsid w:val="F819E7F"/>
    <w:multiLevelType w:val="hybridMultilevel"/>
    <w:lvl w:ilvl="0">
      <w:lvlJc w:val="left"/>
      <w:lvlText w:val="(%1)"/>
      <w:numFmt w:val="lowerLetter"/>
      <w:start w:val="2"/>
    </w:lvl>
  </w:abstractNum>
  <w:abstractNum w:abstractNumId="50">
    <w:nsid w:val="57C7D42D"/>
    <w:multiLevelType w:val="hybridMultilevel"/>
    <w:lvl w:ilvl="0">
      <w:lvlJc w:val="left"/>
      <w:lvlText w:val="(%1)"/>
      <w:numFmt w:val="lowerLetter"/>
      <w:start w:val="4"/>
    </w:lvl>
  </w:abstractNum>
  <w:abstractNum w:abstractNumId="51">
    <w:nsid w:val="312167AD"/>
    <w:multiLevelType w:val="hybridMultilevel"/>
    <w:lvl w:ilvl="0">
      <w:lvlJc w:val="left"/>
      <w:lvlText w:val="(%1)"/>
      <w:numFmt w:val="lowerLetter"/>
      <w:start w:val="2"/>
    </w:lvl>
  </w:abstractNum>
  <w:abstractNum w:abstractNumId="52">
    <w:nsid w:val="631B64D4"/>
    <w:multiLevelType w:val="hybridMultilevel"/>
    <w:lvl w:ilvl="0">
      <w:lvlJc w:val="left"/>
      <w:lvlText w:val="(%1)"/>
      <w:numFmt w:val="lowerLetter"/>
      <w:start w:val="1"/>
    </w:lvl>
  </w:abstractNum>
  <w:abstractNum w:abstractNumId="53">
    <w:nsid w:val="78B5E776"/>
    <w:multiLevelType w:val="hybridMultilevel"/>
    <w:lvl w:ilvl="0">
      <w:lvlJc w:val="left"/>
      <w:lvlText w:val="(%1)"/>
      <w:numFmt w:val="lowerRoman"/>
      <w:start w:val="2"/>
    </w:lvl>
  </w:abstractNum>
  <w:abstractNum w:abstractNumId="54">
    <w:nsid w:val="75486E47"/>
    <w:multiLevelType w:val="hybridMultilevel"/>
    <w:lvl w:ilvl="0">
      <w:lvlJc w:val="left"/>
      <w:lvlText w:val="(%1)"/>
      <w:numFmt w:val="lowerLetter"/>
      <w:start w:val="1"/>
    </w:lvl>
  </w:abstractNum>
  <w:abstractNum w:abstractNumId="55">
    <w:nsid w:val="6E534CDE"/>
    <w:multiLevelType w:val="hybridMultilevel"/>
    <w:lvl w:ilvl="0">
      <w:lvlJc w:val="left"/>
      <w:lvlText w:val="(%1)"/>
      <w:numFmt w:val="lowerLetter"/>
      <w:start w:val="2"/>
    </w:lvl>
  </w:abstractNum>
  <w:abstractNum w:abstractNumId="56">
    <w:nsid w:val="1A0DDE32"/>
    <w:multiLevelType w:val="hybridMultilevel"/>
    <w:lvl w:ilvl="0">
      <w:lvlJc w:val="left"/>
      <w:lvlText w:val="(%1)"/>
      <w:numFmt w:val="lowerLetter"/>
      <w:start w:val="1"/>
    </w:lvl>
  </w:abstractNum>
  <w:abstractNum w:abstractNumId="57">
    <w:nsid w:val="65968C1C"/>
    <w:multiLevelType w:val="hybridMultilevel"/>
    <w:lvl w:ilvl="0">
      <w:lvlJc w:val="left"/>
      <w:lvlText w:val="(%1)"/>
      <w:numFmt w:val="lowerLetter"/>
      <w:start w:val="1"/>
    </w:lvl>
  </w:abstractNum>
  <w:abstractNum w:abstractNumId="58">
    <w:nsid w:val="46263DEC"/>
    <w:multiLevelType w:val="hybridMultilevel"/>
    <w:lvl w:ilvl="0">
      <w:lvlJc w:val="left"/>
      <w:lvlText w:val="(%1)"/>
      <w:numFmt w:val="lowerLetter"/>
      <w:start w:val="2"/>
    </w:lvl>
  </w:abstractNum>
  <w:abstractNum w:abstractNumId="59">
    <w:nsid w:val="260D8C4A"/>
    <w:multiLevelType w:val="hybridMultilevel"/>
    <w:lvl w:ilvl="0">
      <w:lvlJc w:val="left"/>
      <w:lvlText w:val="(%1)"/>
      <w:numFmt w:val="lowerLetter"/>
      <w:start w:val="1"/>
    </w:lvl>
  </w:abstractNum>
  <w:abstractNum w:abstractNumId="60">
    <w:nsid w:val="73D4D3C4"/>
    <w:multiLevelType w:val="hybridMultilevel"/>
    <w:lvl w:ilvl="0">
      <w:lvlJc w:val="left"/>
      <w:lvlText w:val="(%1)"/>
      <w:numFmt w:val="lowerLetter"/>
      <w:start w:val="1"/>
    </w:lvl>
  </w:abstractNum>
  <w:abstractNum w:abstractNumId="61">
    <w:nsid w:val="746F2E30"/>
    <w:multiLevelType w:val="hybridMultilevel"/>
    <w:lvl w:ilvl="0">
      <w:lvlJc w:val="left"/>
      <w:lvlText w:val="(%1)"/>
      <w:numFmt w:val="lowerLetter"/>
      <w:start w:val="3"/>
    </w:lvl>
  </w:abstractNum>
  <w:abstractNum w:abstractNumId="62">
    <w:nsid w:val="6FDE8AF6"/>
    <w:multiLevelType w:val="hybridMultilevel"/>
    <w:lvl w:ilvl="0">
      <w:lvlJc w:val="left"/>
      <w:lvlText w:val="(%1)"/>
      <w:numFmt w:val="lowerLetter"/>
      <w:start w:val="1"/>
    </w:lvl>
  </w:abstractNum>
  <w:abstractNum w:abstractNumId="63">
    <w:nsid w:val="3FC32E20"/>
    <w:multiLevelType w:val="hybridMultilevel"/>
    <w:lvl w:ilvl="0">
      <w:lvlJc w:val="left"/>
      <w:lvlText w:val="(%1)"/>
      <w:numFmt w:val="lowerLetter"/>
      <w:start w:val="1"/>
    </w:lvl>
  </w:abstractNum>
  <w:abstractNum w:abstractNumId="64">
    <w:nsid w:val="49C0E823"/>
    <w:multiLevelType w:val="hybridMultilevel"/>
    <w:lvl w:ilvl="0">
      <w:lvlJc w:val="left"/>
      <w:lvlText w:val="(%1)"/>
      <w:numFmt w:val="lowerRoman"/>
      <w:start w:val="5"/>
    </w:lvl>
  </w:abstractNum>
  <w:abstractNum w:abstractNumId="65">
    <w:nsid w:val="14D536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6">
    <w:nsid w:val="230F856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7">
    <w:nsid w:val="6EAA85FB"/>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68">
    <w:nsid w:val="3F06ECB2"/>
    <w:multiLevelType w:val="hybridMultilevel"/>
    <w:lvl w:ilvl="0">
      <w:lvlJc w:val="left"/>
      <w:lvlText w:val="(%1)"/>
      <w:numFmt w:val="lowerLetter"/>
      <w:start w:val="5"/>
    </w:lvl>
  </w:abstractNum>
  <w:abstractNum w:abstractNumId="69">
    <w:nsid w:val="3B594807"/>
    <w:multiLevelType w:val="hybridMultilevel"/>
    <w:lvl w:ilvl="0">
      <w:lvlJc w:val="left"/>
      <w:lvlText w:val="(%1)"/>
      <w:numFmt w:val="lowerLetter"/>
      <w:start w:val="7"/>
    </w:lvl>
  </w:abstractNum>
  <w:abstractNum w:abstractNumId="70">
    <w:nsid w:val="6CAA2304"/>
    <w:multiLevelType w:val="hybridMultilevel"/>
    <w:lvl w:ilvl="0">
      <w:lvlJc w:val="left"/>
      <w:lvlText w:val="%1"/>
      <w:numFmt w:val="lowerLetter"/>
      <w:start w:val="1"/>
    </w:lvl>
    <w:lvl w:ilvl="1">
      <w:lvlJc w:val="left"/>
      <w:lvlText w:val="(%2)"/>
      <w:numFmt w:val="upperLetter"/>
      <w:start w:val="2"/>
    </w:lvl>
  </w:abstractNum>
  <w:abstractNum w:abstractNumId="71">
    <w:nsid w:val="3F7C2FF4"/>
    <w:multiLevelType w:val="hybridMultilevel"/>
    <w:lvl w:ilvl="0">
      <w:lvlJc w:val="left"/>
      <w:lvlText w:val="(%1)"/>
      <w:numFmt w:val="lowerLetter"/>
      <w:start w:val="10"/>
    </w:lvl>
    <w:lvl w:ilvl="1">
      <w:lvlJc w:val="left"/>
      <w:lvlText w:val="%2"/>
      <w:numFmt w:val="upperLetter"/>
      <w:start w:val="1"/>
    </w:lvl>
  </w:abstractNum>
  <w:abstractNum w:abstractNumId="72">
    <w:nsid w:val="25413BEC"/>
    <w:multiLevelType w:val="hybridMultilevel"/>
    <w:lvl w:ilvl="0">
      <w:lvlJc w:val="left"/>
      <w:lvlText w:val="%1"/>
      <w:numFmt w:val="lowerRoman"/>
      <w:start w:val="1"/>
    </w:lvl>
    <w:lvl w:ilvl="1">
      <w:lvlJc w:val="left"/>
      <w:lvlText w:val="(%2)"/>
      <w:numFmt w:val="lowerLetter"/>
      <w:start w:val="11"/>
    </w:lvl>
  </w:abstractNum>
  <w:abstractNum w:abstractNumId="73">
    <w:nsid w:val="17180B0B"/>
    <w:multiLevelType w:val="hybridMultilevel"/>
    <w:lvl w:ilvl="0">
      <w:lvlJc w:val="left"/>
      <w:lvlText w:val="(%1)"/>
      <w:numFmt w:val="lowerRoman"/>
      <w:start w:val="4"/>
    </w:lvl>
    <w:lvl w:ilvl="1">
      <w:lvlJc w:val="left"/>
      <w:lvlText w:val="%2"/>
      <w:numFmt w:val="lowerLetter"/>
      <w:start w:val="1"/>
    </w:lvl>
  </w:abstractNum>
  <w:abstractNum w:abstractNumId="74">
    <w:nsid w:val="579328B9"/>
    <w:multiLevelType w:val="hybridMultilevel"/>
    <w:lvl w:ilvl="0">
      <w:lvlJc w:val="left"/>
      <w:lvlText w:val="(%1)"/>
      <w:numFmt w:val="lowerLetter"/>
      <w:start w:val="1"/>
    </w:lvl>
  </w:abstractNum>
  <w:abstractNum w:abstractNumId="75">
    <w:nsid w:val="5D205E20"/>
    <w:multiLevelType w:val="hybridMultilevel"/>
    <w:lvl w:ilvl="0">
      <w:lvlJc w:val="left"/>
      <w:lvlText w:val="(%1)"/>
      <w:numFmt w:val="lowerLetter"/>
      <w:start w:val="1"/>
    </w:lvl>
    <w:lvl w:ilvl="1">
      <w:lvlJc w:val="left"/>
      <w:lvlText w:val="(%2)"/>
      <w:numFmt w:val="lowerRoman"/>
      <w:start w:val="1"/>
    </w:lvl>
  </w:abstractNum>
  <w:abstractNum w:abstractNumId="76">
    <w:nsid w:val="11CCA8BA"/>
    <w:multiLevelType w:val="hybridMultilevel"/>
    <w:lvl w:ilvl="0">
      <w:lvlJc w:val="left"/>
      <w:lvlText w:val="(%1)"/>
      <w:numFmt w:val="lowerLetter"/>
      <w:start w:val="4"/>
    </w:lvl>
  </w:abstractNum>
  <w:abstractNum w:abstractNumId="77">
    <w:nsid w:val="4D32AB86"/>
    <w:multiLevelType w:val="hybridMultilevel"/>
    <w:lvl w:ilvl="0">
      <w:lvlJc w:val="left"/>
      <w:lvlText w:val="(%1)"/>
      <w:numFmt w:val="lowerLetter"/>
      <w:start w:val="2"/>
    </w:lvl>
  </w:abstractNum>
  <w:abstractNum w:abstractNumId="78">
    <w:nsid w:val="3F07ACC3"/>
    <w:multiLevelType w:val="hybridMultilevel"/>
    <w:lvl w:ilvl="0">
      <w:lvlJc w:val="left"/>
      <w:lvlText w:val="(%1)"/>
      <w:numFmt w:val="lowerLetter"/>
      <w:start w:val="1"/>
    </w:lvl>
  </w:abstractNum>
  <w:abstractNum w:abstractNumId="79">
    <w:nsid w:val="6B47F63E"/>
    <w:multiLevelType w:val="hybridMultilevel"/>
    <w:lvl w:ilvl="0">
      <w:lvlJc w:val="left"/>
      <w:lvlText w:val="%1"/>
      <w:numFmt w:val="decimal"/>
      <w:start w:val="1"/>
    </w:lvl>
    <w:lvl w:ilvl="1">
      <w:lvlJc w:val="left"/>
      <w:lvlText w:val="(%2)"/>
      <w:numFmt w:val="lowerLetter"/>
      <w:start w:val="1"/>
    </w:lvl>
  </w:abstractNum>
  <w:abstractNum w:abstractNumId="80">
    <w:nsid w:val="5CB44A05"/>
    <w:multiLevelType w:val="hybridMultilevel"/>
    <w:lvl w:ilvl="0">
      <w:lvlJc w:val="left"/>
      <w:lvlText w:val="(%1)"/>
      <w:numFmt w:val="decimal"/>
      <w:start w:val="4"/>
    </w:lvl>
    <w:lvl w:ilvl="1">
      <w:lvlJc w:val="left"/>
      <w:lvlText w:val="%2"/>
      <w:numFmt w:val="lowerLetter"/>
      <w:start w:val="1"/>
    </w:lvl>
  </w:abstractNum>
  <w:abstractNum w:abstractNumId="81">
    <w:nsid w:val="16CF80F1"/>
    <w:multiLevelType w:val="hybridMultilevel"/>
    <w:lvl w:ilvl="0">
      <w:lvlJc w:val="left"/>
      <w:lvlText w:val="(%1)"/>
      <w:numFmt w:val="lowerLetter"/>
      <w:start w:val="2"/>
    </w:lvl>
  </w:abstractNum>
  <w:abstractNum w:abstractNumId="82">
    <w:nsid w:val="1C695DEC"/>
    <w:multiLevelType w:val="hybridMultilevel"/>
    <w:lvl w:ilvl="0">
      <w:lvlJc w:val="left"/>
      <w:lvlText w:val="(%1)"/>
      <w:numFmt w:val="lowerLetter"/>
      <w:start w:val="1"/>
    </w:lvl>
  </w:abstractNum>
  <w:abstractNum w:abstractNumId="83">
    <w:nsid w:val="3FCFAED9"/>
    <w:multiLevelType w:val="hybridMultilevel"/>
    <w:lvl w:ilvl="0">
      <w:lvlJc w:val="left"/>
      <w:lvlText w:val="(%1)"/>
      <w:numFmt w:val="lowerLetter"/>
      <w:start w:val="3"/>
    </w:lvl>
  </w:abstractNum>
  <w:abstractNum w:abstractNumId="84">
    <w:nsid w:val="F856867"/>
    <w:multiLevelType w:val="hybridMultilevel"/>
    <w:lvl w:ilvl="0">
      <w:lvlJc w:val="left"/>
      <w:lvlText w:val="%1"/>
      <w:numFmt w:val="lowerRoman"/>
      <w:start w:val="1"/>
    </w:lvl>
    <w:lvl w:ilvl="1">
      <w:lvlJc w:val="left"/>
      <w:lvlText w:val="(%2)"/>
      <w:numFmt w:val="lowerLetter"/>
      <w:start w:val="1"/>
    </w:lvl>
  </w:abstractNum>
  <w:abstractNum w:abstractNumId="85">
    <w:nsid w:val="11B1CC33"/>
    <w:multiLevelType w:val="hybridMultilevel"/>
    <w:lvl w:ilvl="0">
      <w:lvlJc w:val="left"/>
      <w:lvlText w:val="(%1)"/>
      <w:numFmt w:val="lowerRoman"/>
      <w:start w:val="2"/>
    </w:lvl>
    <w:lvl w:ilvl="1">
      <w:lvlJc w:val="left"/>
      <w:lvlText w:val="%2"/>
      <w:numFmt w:val="lowerLetter"/>
      <w:start w:val="1"/>
    </w:lvl>
  </w:abstractNum>
  <w:abstractNum w:abstractNumId="86">
    <w:nsid w:val="2E22FBB7"/>
    <w:multiLevelType w:val="hybridMultilevel"/>
    <w:lvl w:ilvl="0">
      <w:lvlJc w:val="left"/>
      <w:lvlText w:val="(%1)"/>
      <w:numFmt w:val="lowerLetter"/>
      <w:start w:val="6"/>
    </w:lvl>
  </w:abstractNum>
  <w:abstractNum w:abstractNumId="87">
    <w:nsid w:val="29934699"/>
    <w:multiLevelType w:val="hybridMultilevel"/>
    <w:lvl w:ilvl="0">
      <w:lvlJc w:val="left"/>
      <w:lvlText w:val="(%1)"/>
      <w:numFmt w:val="lowerLetter"/>
      <w:start w:val="1"/>
    </w:lvl>
    <w:lvl w:ilvl="1">
      <w:lvlJc w:val="left"/>
      <w:lvlText w:val="(%2)"/>
      <w:numFmt w:val="lowerRoman"/>
      <w:start w:val="1"/>
    </w:lvl>
  </w:abstractNum>
  <w:abstractNum w:abstractNumId="88">
    <w:nsid w:val="77485850"/>
    <w:multiLevelType w:val="hybridMultilevel"/>
    <w:lvl w:ilvl="0">
      <w:lvlJc w:val="left"/>
      <w:lvlText w:val="(%1)"/>
      <w:numFmt w:val="lowerLetter"/>
      <w:start w:val="2"/>
    </w:lvl>
  </w:abstractNum>
  <w:abstractNum w:abstractNumId="89">
    <w:nsid w:val="744939A3"/>
    <w:multiLevelType w:val="hybridMultilevel"/>
    <w:lvl w:ilvl="0">
      <w:lvlJc w:val="left"/>
      <w:lvlText w:val="(%1)"/>
      <w:numFmt w:val="lowerLetter"/>
      <w:start w:val="4"/>
    </w:lvl>
  </w:abstractNum>
  <w:abstractNum w:abstractNumId="90">
    <w:nsid w:val="4FA0D2E3"/>
    <w:multiLevelType w:val="hybridMultilevel"/>
    <w:lvl w:ilvl="0">
      <w:lvlJc w:val="left"/>
      <w:lvlText w:val="(%1)"/>
      <w:numFmt w:val="lowerLetter"/>
      <w:start w:val="1"/>
    </w:lvl>
    <w:lvl w:ilvl="1">
      <w:lvlJc w:val="left"/>
      <w:lvlText w:val="(%2)"/>
      <w:numFmt w:val="lowerRoman"/>
      <w:start w:val="1"/>
    </w:lvl>
  </w:abstractNum>
  <w:abstractNum w:abstractNumId="91">
    <w:nsid w:val="6B1D2C14"/>
    <w:multiLevelType w:val="hybridMultilevel"/>
    <w:lvl w:ilvl="0">
      <w:lvlJc w:val="left"/>
      <w:lvlText w:val="(%1)"/>
      <w:numFmt w:val="lowerLetter"/>
      <w:start w:val="2"/>
    </w:lvl>
  </w:abstractNum>
  <w:abstractNum w:abstractNumId="92">
    <w:nsid w:val="68B867D3"/>
    <w:multiLevelType w:val="hybridMultilevel"/>
    <w:lvl w:ilvl="0">
      <w:lvlJc w:val="left"/>
      <w:lvlText w:val="(%1)"/>
      <w:numFmt w:val="lowerLetter"/>
      <w:start w:val="1"/>
    </w:lvl>
  </w:abstractNum>
  <w:abstractNum w:abstractNumId="93">
    <w:nsid w:val="3F7F5DD9"/>
    <w:multiLevelType w:val="hybridMultilevel"/>
    <w:lvl w:ilvl="0">
      <w:lvlJc w:val="left"/>
      <w:lvlText w:val="(%1)"/>
      <w:numFmt w:val="lowerLetter"/>
      <w:start w:val="2"/>
    </w:lvl>
  </w:abstractNum>
  <w:abstractNum w:abstractNumId="94">
    <w:nsid w:val="2AE05A34"/>
    <w:multiLevelType w:val="hybridMultilevel"/>
    <w:lvl w:ilvl="0">
      <w:lvlJc w:val="left"/>
      <w:lvlText w:val="(%1)"/>
      <w:numFmt w:val="lowerLetter"/>
      <w:start w:val="1"/>
    </w:lvl>
  </w:abstractNum>
  <w:abstractNum w:abstractNumId="95">
    <w:nsid w:val="32794FF7"/>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96">
    <w:nsid w:val="5454945E"/>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97">
    <w:nsid w:val="4DEFDFA0"/>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98">
    <w:nsid w:val="2123D5F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99">
    <w:nsid w:val="135B8110"/>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100">
    <w:nsid w:val="94927A8"/>
    <w:multiLevelType w:val="hybridMultilevel"/>
    <w:lvl w:ilvl="0">
      <w:lvlJc w:val="left"/>
      <w:lvlText w:val="(%1)"/>
      <w:numFmt w:val="upperLetter"/>
      <w:start w:val="4"/>
    </w:lvl>
  </w:abstractNum>
  <w:abstractNum w:abstractNumId="101">
    <w:nsid w:val="DCDF8F6"/>
    <w:multiLevelType w:val="hybridMultilevel"/>
    <w:lvl w:ilvl="0">
      <w:lvlJc w:val="left"/>
      <w:lvlText w:val="(%1)"/>
      <w:numFmt w:val="lowerLetter"/>
      <w:start w:val="7"/>
    </w:lvl>
  </w:abstractNum>
  <w:abstractNum w:abstractNumId="102">
    <w:nsid w:val="52D7B105"/>
    <w:multiLevelType w:val="hybridMultilevel"/>
    <w:lvl w:ilvl="0">
      <w:lvlJc w:val="left"/>
      <w:lvlText w:val="(%1)"/>
      <w:numFmt w:val="lowerRoman"/>
      <w:start w:val="1"/>
    </w:lvl>
  </w:abstractNum>
  <w:abstractNum w:abstractNumId="103">
    <w:nsid w:val="2E8A6394"/>
    <w:multiLevelType w:val="hybridMultilevel"/>
    <w:lvl w:ilvl="0">
      <w:lvlJc w:val="left"/>
      <w:lvlText w:val="(%1)"/>
      <w:numFmt w:val="lowerLetter"/>
      <w:start w:val="1"/>
    </w:lvl>
  </w:abstractNum>
  <w:abstractNum w:abstractNumId="104">
    <w:nsid w:val="24E60401"/>
    <w:multiLevelType w:val="hybridMultilevel"/>
    <w:lvl w:ilvl="0">
      <w:lvlJc w:val="left"/>
      <w:lvlText w:val="(%1)"/>
      <w:numFmt w:val="lowerLetter"/>
      <w:start w:val="3"/>
    </w:lvl>
  </w:abstractNum>
  <w:abstractNum w:abstractNumId="105">
    <w:nsid w:val="2A6AD9BE"/>
    <w:multiLevelType w:val="hybridMultilevel"/>
    <w:lvl w:ilvl="0">
      <w:lvlJc w:val="left"/>
      <w:lvlText w:val="(%1)"/>
      <w:numFmt w:val="lowerLetter"/>
      <w:start w:val="5"/>
    </w:lvl>
  </w:abstractNum>
  <w:abstractNum w:abstractNumId="106">
    <w:nsid w:val="BAAC1B4"/>
    <w:multiLevelType w:val="hybridMultilevel"/>
    <w:lvl w:ilvl="0">
      <w:lvlJc w:val="left"/>
      <w:lvlText w:val="(%1)"/>
      <w:numFmt w:val="lowerLetter"/>
      <w:start w:val="1"/>
    </w:lvl>
  </w:abstractNum>
  <w:abstractNum w:abstractNumId="107">
    <w:nsid w:val="36B2ACBC"/>
    <w:multiLevelType w:val="hybridMultilevel"/>
    <w:lvl w:ilvl="0">
      <w:lvlJc w:val="left"/>
      <w:lvlText w:val="(%1)"/>
      <w:numFmt w:val="lowerLetter"/>
      <w:start w:val="1"/>
    </w:lvl>
    <w:lvl w:ilvl="1">
      <w:lvlJc w:val="left"/>
      <w:lvlText w:val="(%2)"/>
      <w:numFmt w:val="lowerRoman"/>
      <w:start w:val="1"/>
    </w:lvl>
  </w:abstractNum>
  <w:abstractNum w:abstractNumId="108">
    <w:nsid w:val="779D8544"/>
    <w:multiLevelType w:val="hybridMultilevel"/>
    <w:lvl w:ilvl="0">
      <w:lvlJc w:val="left"/>
      <w:lvlText w:val="%1"/>
      <w:numFmt w:val="decimal"/>
      <w:start w:val="1"/>
    </w:lvl>
    <w:lvl w:ilvl="1">
      <w:lvlJc w:val="left"/>
      <w:lvlText w:val="(%2)"/>
      <w:numFmt w:val="lowerRoman"/>
      <w:start w:val="5"/>
    </w:lvl>
  </w:abstractNum>
  <w:abstractNum w:abstractNumId="109">
    <w:nsid w:val="4AB26E78"/>
    <w:multiLevelType w:val="hybridMultilevel"/>
    <w:lvl w:ilvl="0">
      <w:lvlJc w:val="left"/>
      <w:lvlText w:val="(%1)"/>
      <w:numFmt w:val="decimal"/>
      <w:start w:val="1"/>
    </w:lvl>
    <w:lvl w:ilvl="1">
      <w:lvlJc w:val="left"/>
      <w:lvlText w:val="%2"/>
      <w:numFmt w:val="lowerRoman"/>
      <w:start w:val="1"/>
    </w:lvl>
  </w:abstractNum>
  <w:abstractNum w:abstractNumId="110">
    <w:nsid w:val="21FAA2FA"/>
    <w:multiLevelType w:val="hybridMultilevel"/>
    <w:lvl w:ilvl="0">
      <w:lvlJc w:val="left"/>
      <w:lvlText w:val="(%1)"/>
      <w:numFmt w:val="lowerRoman"/>
      <w:start w:val="11"/>
    </w:lvl>
  </w:abstractNum>
  <w:abstractNum w:abstractNumId="111">
    <w:nsid w:val="5451CF49"/>
    <w:multiLevelType w:val="hybridMultilevel"/>
    <w:lvl w:ilvl="0">
      <w:lvlJc w:val="left"/>
      <w:lvlText w:val="(%1)"/>
      <w:numFmt w:val="lowerLetter"/>
      <w:start w:val="3"/>
    </w:lvl>
  </w:abstractNum>
  <w:abstractNum w:abstractNumId="112">
    <w:nsid w:val="6181EF69"/>
    <w:multiLevelType w:val="hybridMultilevel"/>
    <w:lvl w:ilvl="0">
      <w:lvlJc w:val="left"/>
      <w:lvlText w:val="(%1)"/>
      <w:numFmt w:val="lowerLetter"/>
      <w:start w:val="4"/>
    </w:lvl>
    <w:lvl w:ilvl="1">
      <w:lvlJc w:val="left"/>
      <w:lvlText w:val="(%2)"/>
      <w:numFmt w:val="lowerRoman"/>
      <w:start w:val="1"/>
    </w:lvl>
  </w:abstractNum>
  <w:abstractNum w:abstractNumId="113">
    <w:nsid w:val="3E6400E6"/>
    <w:multiLevelType w:val="hybridMultilevel"/>
    <w:lvl w:ilvl="0">
      <w:lvlJc w:val="left"/>
      <w:lvlText w:val="(%1)"/>
      <w:numFmt w:val="lowerLetter"/>
      <w:start w:val="8"/>
    </w:lvl>
  </w:abstractNum>
  <w:abstractNum w:abstractNumId="114">
    <w:nsid w:val="14217E23"/>
    <w:multiLevelType w:val="hybridMultilevel"/>
    <w:lvl w:ilvl="0">
      <w:lvlJc w:val="left"/>
      <w:lvlText w:val="(%1)"/>
      <w:numFmt w:val="lowerLetter"/>
      <w:start w:val="1"/>
    </w:lvl>
  </w:abstractNum>
  <w:abstractNum w:abstractNumId="115">
    <w:nsid w:val="710757D0"/>
    <w:multiLevelType w:val="hybridMultilevel"/>
    <w:lvl w:ilvl="0">
      <w:lvlJc w:val="left"/>
      <w:lvlText w:val="(%1)"/>
      <w:numFmt w:val="lowerLetter"/>
      <w:start w:val="3"/>
    </w:lvl>
    <w:lvl w:ilvl="1">
      <w:lvlJc w:val="left"/>
      <w:lvlText w:val="(%2)"/>
      <w:numFmt w:val="lowerRoman"/>
      <w:start w:val="1"/>
    </w:lvl>
  </w:abstractNum>
  <w:abstractNum w:abstractNumId="116">
    <w:nsid w:val="5015CD1A"/>
    <w:multiLevelType w:val="hybridMultilevel"/>
    <w:lvl w:ilvl="0">
      <w:lvlJc w:val="left"/>
      <w:lvlText w:val="(%1)"/>
      <w:numFmt w:val="lowerRoman"/>
      <w:start w:val="2"/>
    </w:lvl>
  </w:abstractNum>
  <w:abstractNum w:abstractNumId="117">
    <w:nsid w:val="424479DA"/>
    <w:multiLevelType w:val="hybridMultilevel"/>
    <w:lvl w:ilvl="0">
      <w:lvlJc w:val="left"/>
      <w:lvlText w:val="(%1)"/>
      <w:numFmt w:val="lowerLetter"/>
      <w:start w:val="5"/>
    </w:lvl>
  </w:abstractNum>
  <w:abstractNum w:abstractNumId="118">
    <w:nsid w:val="1A9A9E69"/>
    <w:multiLevelType w:val="hybridMultilevel"/>
    <w:lvl w:ilvl="0">
      <w:lvlJc w:val="left"/>
      <w:lvlText w:val="%1"/>
      <w:numFmt w:val="lowerRoman"/>
      <w:start w:val="1"/>
    </w:lvl>
    <w:lvl w:ilvl="1">
      <w:lvlJc w:val="left"/>
      <w:lvlText w:val="(%2)"/>
      <w:numFmt w:val="lowerLetter"/>
      <w:start w:val="1"/>
    </w:lvl>
  </w:abstractNum>
  <w:abstractNum w:abstractNumId="119">
    <w:nsid w:val="475E256A"/>
    <w:multiLevelType w:val="hybridMultilevel"/>
    <w:lvl w:ilvl="0">
      <w:lvlJc w:val="left"/>
      <w:lvlText w:val="(%1)"/>
      <w:numFmt w:val="lowerRoman"/>
      <w:start w:val="4"/>
    </w:lvl>
    <w:lvl w:ilvl="1">
      <w:lvlJc w:val="left"/>
      <w:lvlText w:val="%2"/>
      <w:numFmt w:val="lowerLetter"/>
      <w:start w:val="1"/>
    </w:lvl>
  </w:abstractNum>
  <w:abstractNum w:abstractNumId="120">
    <w:nsid w:val="368DB37E"/>
    <w:multiLevelType w:val="hybridMultilevel"/>
    <w:lvl w:ilvl="0">
      <w:lvlJc w:val="left"/>
      <w:lvlText w:val="(%1)"/>
      <w:numFmt w:val="lowerLetter"/>
      <w:start w:val="3"/>
    </w:lvl>
    <w:lvl w:ilvl="1">
      <w:lvlJc w:val="left"/>
      <w:lvlText w:val="(%2)"/>
      <w:numFmt w:val="lowerRoman"/>
      <w:start w:val="1"/>
    </w:lvl>
  </w:abstractNum>
  <w:abstractNum w:abstractNumId="121">
    <w:nsid w:val="6A3B714C"/>
    <w:multiLevelType w:val="hybridMultilevel"/>
    <w:lvl w:ilvl="0">
      <w:lvlJc w:val="left"/>
      <w:lvlText w:val="%1"/>
      <w:numFmt w:val="lowerLetter"/>
      <w:start w:val="1"/>
    </w:lvl>
    <w:lvl w:ilvl="1">
      <w:lvlJc w:val="left"/>
      <w:lvlText w:val="(%2)"/>
      <w:numFmt w:val="lowerRoman"/>
      <w:start w:val="9"/>
    </w:lvl>
  </w:abstractNum>
  <w:abstractNum w:abstractNumId="122">
    <w:nsid w:val="327B517E"/>
    <w:multiLevelType w:val="hybridMultilevel"/>
    <w:lvl w:ilvl="0">
      <w:lvlJc w:val="left"/>
      <w:lvlText w:val="(%1)"/>
      <w:numFmt w:val="lowerLetter"/>
      <w:start w:val="4"/>
    </w:lvl>
    <w:lvl w:ilvl="1">
      <w:lvlJc w:val="left"/>
      <w:lvlText w:val="%2"/>
      <w:numFmt w:val="lowerRoman"/>
      <w:start w:val="1"/>
    </w:lvl>
  </w:abstractNum>
  <w:abstractNum w:abstractNumId="123">
    <w:nsid w:val="1F461B51"/>
    <w:multiLevelType w:val="hybridMultilevel"/>
    <w:lvl w:ilvl="0">
      <w:lvlJc w:val="left"/>
      <w:lvlText w:val="(%1)"/>
      <w:numFmt w:val="lowerLetter"/>
      <w:start w:val="1"/>
    </w:lvl>
  </w:abstractNum>
  <w:abstractNum w:abstractNumId="124">
    <w:nsid w:val="29BACF25"/>
    <w:multiLevelType w:val="hybridMultilevel"/>
    <w:lvl w:ilvl="0">
      <w:lvlJc w:val="left"/>
      <w:lvlText w:val="%1"/>
      <w:numFmt w:val="lowerLetter"/>
      <w:start w:val="1"/>
    </w:lvl>
    <w:lvl w:ilvl="1">
      <w:lvlJc w:val="left"/>
      <w:lvlText w:val="(%2)"/>
      <w:numFmt w:val="lowerLetter"/>
      <w:start w:val="3"/>
    </w:lvl>
  </w:abstractNum>
  <w:abstractNum w:abstractNumId="125">
    <w:nsid w:val="5D5BABB3"/>
    <w:multiLevelType w:val="hybridMultilevel"/>
    <w:lvl w:ilvl="0">
      <w:lvlJc w:val="left"/>
      <w:lvlText w:val="(%1)"/>
      <w:numFmt w:val="lowerLetter"/>
      <w:start w:val="35"/>
    </w:lvl>
    <w:lvl w:ilvl="1">
      <w:lvlJc w:val="left"/>
      <w:lvlText w:val="%2"/>
      <w:numFmt w:val="lowerLetter"/>
      <w:start w:val="1"/>
    </w:lvl>
  </w:abstractNum>
  <w:abstractNum w:abstractNumId="126">
    <w:nsid w:val="51BF6B48"/>
    <w:multiLevelType w:val="hybridMultilevel"/>
    <w:lvl w:ilvl="0">
      <w:lvlJc w:val="left"/>
      <w:lvlText w:val="(%1)"/>
      <w:numFmt w:val="lowerLetter"/>
      <w:start w:val="5"/>
    </w:lvl>
  </w:abstractNum>
  <w:abstractNum w:abstractNumId="127">
    <w:nsid w:val="7E0F6384"/>
    <w:multiLevelType w:val="hybridMultilevel"/>
    <w:lvl w:ilvl="0">
      <w:lvlJc w:val="left"/>
      <w:lvlText w:val="(%1)"/>
      <w:numFmt w:val="lowerRoman"/>
      <w:start w:val="10"/>
    </w:lvl>
  </w:abstractNum>
  <w:abstractNum w:abstractNumId="128">
    <w:nsid w:val="2B4B8B53"/>
    <w:multiLevelType w:val="hybridMultilevel"/>
    <w:lvl w:ilvl="0">
      <w:lvlJc w:val="left"/>
      <w:lvlText w:val="(%1)"/>
      <w:numFmt w:val="lowerLetter"/>
      <w:start w:val="1"/>
    </w:lvl>
  </w:abstractNum>
  <w:abstractNum w:abstractNumId="129">
    <w:nsid w:val="72E3413A"/>
    <w:multiLevelType w:val="hybridMultilevel"/>
    <w:lvl w:ilvl="0">
      <w:lvlJc w:val="left"/>
      <w:lvlText w:val="%1"/>
      <w:numFmt w:val="lowerLetter"/>
      <w:start w:val="1"/>
    </w:lvl>
    <w:lvl w:ilvl="1">
      <w:lvlJc w:val="left"/>
      <w:lvlText w:val="(%2)"/>
      <w:numFmt w:val="lowerLetter"/>
      <w:start w:val="2"/>
    </w:lvl>
  </w:abstractNum>
  <w:abstractNum w:abstractNumId="130">
    <w:nsid w:val="116AE494"/>
    <w:multiLevelType w:val="hybridMultilevel"/>
    <w:lvl w:ilvl="0">
      <w:lvlJc w:val="left"/>
      <w:lvlText w:val="(%1)"/>
      <w:numFmt w:val="lowerLetter"/>
      <w:start w:val="9"/>
    </w:lvl>
    <w:lvl w:ilvl="1">
      <w:lvlJc w:val="left"/>
      <w:lvlText w:val="(%2)"/>
      <w:numFmt w:val="lowerLetter"/>
      <w:start w:val="3"/>
    </w:lvl>
  </w:abstractNum>
  <w:abstractNum w:abstractNumId="131">
    <w:nsid w:val="3494B2FB"/>
    <w:multiLevelType w:val="hybridMultilevel"/>
    <w:lvl w:ilvl="0">
      <w:lvlJc w:val="left"/>
      <w:lvlText w:val="(%1)"/>
      <w:numFmt w:val="lowerLetter"/>
      <w:start w:val="1"/>
    </w:lvl>
  </w:abstractNum>
  <w:abstractNum w:abstractNumId="132">
    <w:nsid w:val="B13A31"/>
    <w:multiLevelType w:val="hybridMultilevel"/>
    <w:lvl w:ilvl="0">
      <w:lvlJc w:val="left"/>
      <w:lvlText w:val="(%1)"/>
      <w:numFmt w:val="lowerLetter"/>
      <w:start w:val="2"/>
    </w:lvl>
  </w:abstractNum>
  <w:abstractNum w:abstractNumId="133">
    <w:nsid w:val="64429599"/>
    <w:multiLevelType w:val="hybridMultilevel"/>
    <w:lvl w:ilvl="0">
      <w:lvlJc w:val="left"/>
      <w:lvlText w:val="(%1)"/>
      <w:numFmt w:val="lowerLetter"/>
      <w:start w:val="1"/>
    </w:lvl>
  </w:abstractNum>
  <w:abstractNum w:abstractNumId="134">
    <w:nsid w:val="631F1690"/>
    <w:multiLevelType w:val="hybridMultilevel"/>
    <w:lvl w:ilvl="0">
      <w:lvlJc w:val="left"/>
      <w:lvlText w:val="(%1)"/>
      <w:numFmt w:val="lowerLetter"/>
      <w:start w:val="1"/>
    </w:lvl>
  </w:abstractNum>
  <w:abstractNum w:abstractNumId="135">
    <w:nsid w:val="25973E32"/>
    <w:multiLevelType w:val="hybridMultilevel"/>
    <w:lvl w:ilvl="0">
      <w:lvlJc w:val="left"/>
      <w:lvlText w:val="(%1)"/>
      <w:numFmt w:val="lowerLetter"/>
      <w:start w:val="1"/>
    </w:lvl>
  </w:abstractNum>
  <w:abstractNum w:abstractNumId="136">
    <w:nsid w:val="EAD6F57"/>
    <w:multiLevelType w:val="hybridMultilevel"/>
    <w:lvl w:ilvl="0">
      <w:lvlJc w:val="left"/>
      <w:lvlText w:val="(%1)"/>
      <w:numFmt w:val="lowerLetter"/>
      <w:start w:val="2"/>
    </w:lvl>
    <w:lvl w:ilvl="1">
      <w:lvlJc w:val="left"/>
      <w:lvlText w:val="(%2)"/>
      <w:numFmt w:val="lowerRoman"/>
      <w:start w:val="1"/>
    </w:lvl>
  </w:abstractNum>
  <w:abstractNum w:abstractNumId="137">
    <w:nsid w:val="6EC9D844"/>
    <w:multiLevelType w:val="hybridMultilevel"/>
    <w:lvl w:ilvl="0">
      <w:lvlJc w:val="left"/>
      <w:lvlText w:val="%1"/>
      <w:numFmt w:val="decimal"/>
      <w:start w:val="1"/>
    </w:lvl>
    <w:lvl w:ilvl="1">
      <w:lvlJc w:val="left"/>
      <w:lvlText w:val="(%2)"/>
      <w:numFmt w:val="lowerRoman"/>
      <w:start w:val="4"/>
    </w:lvl>
  </w:abstractNum>
  <w:abstractNum w:abstractNumId="138">
    <w:nsid w:val="5C49EAEE"/>
    <w:multiLevelType w:val="hybridMultilevel"/>
    <w:lvl w:ilvl="0">
      <w:lvlJc w:val="left"/>
      <w:lvlText w:val="(%1)"/>
      <w:numFmt w:val="decimal"/>
      <w:start w:val="4"/>
    </w:lvl>
    <w:lvl w:ilvl="1">
      <w:lvlJc w:val="left"/>
      <w:lvlText w:val="%2"/>
      <w:numFmt w:val="lowerRoman"/>
      <w:start w:val="1"/>
    </w:lvl>
  </w:abstractNum>
  <w:abstractNum w:abstractNumId="139">
    <w:nsid w:val="64AF49B"/>
    <w:multiLevelType w:val="hybridMultilevel"/>
    <w:lvl w:ilvl="0">
      <w:lvlJc w:val="left"/>
      <w:lvlText w:val="(%1)"/>
      <w:numFmt w:val="lowerLetter"/>
      <w:start w:val="1"/>
    </w:lvl>
  </w:abstractNum>
  <w:abstractNum w:abstractNumId="140">
    <w:nsid w:val="397C46BC"/>
    <w:multiLevelType w:val="hybridMultilevel"/>
    <w:lvl w:ilvl="0">
      <w:lvlJc w:val="left"/>
      <w:lvlText w:val="(%1)"/>
      <w:numFmt w:val="lowerRoman"/>
      <w:start w:val="1"/>
    </w:lvl>
  </w:abstractNum>
  <w:abstractNum w:abstractNumId="141">
    <w:nsid w:val="7E448DE9"/>
    <w:multiLevelType w:val="hybridMultilevel"/>
    <w:lvl w:ilvl="0">
      <w:lvlJc w:val="left"/>
      <w:lvlText w:val="(%1)"/>
      <w:numFmt w:val="lowerLetter"/>
      <w:start w:val="1"/>
    </w:lvl>
  </w:abstractNum>
  <w:abstractNum w:abstractNumId="142">
    <w:nsid w:val="5A9CC3E5"/>
    <w:multiLevelType w:val="hybridMultilevel"/>
    <w:lvl w:ilvl="0">
      <w:lvlJc w:val="left"/>
      <w:lvlText w:val="(%1)"/>
      <w:numFmt w:val="lowerLetter"/>
      <w:start w:val="1"/>
    </w:lvl>
  </w:abstractNum>
  <w:abstractNum w:abstractNumId="143">
    <w:nsid w:val="1AFE3625"/>
    <w:multiLevelType w:val="hybridMultilevel"/>
    <w:lvl w:ilvl="0">
      <w:lvlJc w:val="left"/>
      <w:lvlText w:val="%1"/>
      <w:numFmt w:val="lowerLetter"/>
      <w:start w:val="1"/>
    </w:lvl>
    <w:lvl w:ilvl="1">
      <w:lvlJc w:val="left"/>
      <w:lvlText w:val="(%2)"/>
      <w:numFmt w:val="lowerLetter"/>
      <w:start w:val="1"/>
    </w:lvl>
  </w:abstractNum>
  <w:abstractNum w:abstractNumId="144">
    <w:nsid w:val="3CA88ECF"/>
    <w:multiLevelType w:val="hybridMultilevel"/>
    <w:lvl w:ilvl="0">
      <w:lvlJc w:val="left"/>
      <w:lvlText w:val="(%1)"/>
      <w:numFmt w:val="lowerLetter"/>
      <w:start w:val="7"/>
    </w:lvl>
    <w:lvl w:ilvl="1">
      <w:lvlJc w:val="left"/>
      <w:lvlText w:val="%2"/>
      <w:numFmt w:val="lowerLetter"/>
      <w:start w:val="1"/>
    </w:lvl>
  </w:abstractNum>
  <w:abstractNum w:abstractNumId="145">
    <w:nsid w:val="6EBE4208"/>
    <w:multiLevelType w:val="hybridMultilevel"/>
    <w:lvl w:ilvl="0">
      <w:lvlJc w:val="left"/>
      <w:lvlText w:val="(%1)"/>
      <w:numFmt w:val="lowerLetter"/>
      <w:start w:val="8"/>
    </w:lvl>
  </w:abstractNum>
  <w:abstractNum w:abstractNumId="146">
    <w:nsid w:val="C058DF5"/>
    <w:multiLevelType w:val="hybridMultilevel"/>
    <w:lvl w:ilvl="0">
      <w:lvlJc w:val="left"/>
      <w:lvlText w:val="(%1)"/>
      <w:numFmt w:val="lowerRoman"/>
      <w:start w:val="1"/>
    </w:lvl>
  </w:abstractNum>
  <w:abstractNum w:abstractNumId="147">
    <w:nsid w:val="CBE5BE9"/>
    <w:multiLevelType w:val="hybridMultilevel"/>
    <w:lvl w:ilvl="0">
      <w:lvlJc w:val="left"/>
      <w:lvlText w:val="(%1)"/>
      <w:numFmt w:val="lowerLetter"/>
      <w:start w:val="1"/>
    </w:lvl>
  </w:abstractNum>
  <w:abstractNum w:abstractNumId="148">
    <w:nsid w:val="3102BBE2"/>
    <w:multiLevelType w:val="hybridMultilevel"/>
    <w:lvl w:ilvl="0">
      <w:lvlJc w:val="left"/>
      <w:lvlText w:val="(%1)"/>
      <w:numFmt w:val="lowerLetter"/>
      <w:start w:val="3"/>
    </w:lvl>
  </w:abstractNum>
  <w:abstractNum w:abstractNumId="149">
    <w:nsid w:val="26A02C5E"/>
    <w:multiLevelType w:val="hybridMultilevel"/>
    <w:lvl w:ilvl="0">
      <w:lvlJc w:val="left"/>
      <w:lvlText w:val="(%1)"/>
      <w:numFmt w:val="lowerLetter"/>
      <w:start w:val="1"/>
    </w:lvl>
  </w:abstractNum>
  <w:abstractNum w:abstractNumId="150">
    <w:nsid w:val="541C8153"/>
    <w:multiLevelType w:val="hybridMultilevel"/>
    <w:lvl w:ilvl="0">
      <w:lvlJc w:val="left"/>
      <w:lvlText w:val="(%1)"/>
      <w:numFmt w:val="lowerLetter"/>
      <w:start w:val="6"/>
    </w:lvl>
  </w:abstractNum>
  <w:abstractNum w:abstractNumId="151">
    <w:nsid w:val="67906F60"/>
    <w:multiLevelType w:val="hybridMultilevel"/>
    <w:lvl w:ilvl="0">
      <w:lvlJc w:val="left"/>
      <w:lvlText w:val="(%1)"/>
      <w:numFmt w:val="lowerLetter"/>
      <w:start w:val="16"/>
    </w:lvl>
  </w:abstractNum>
  <w:abstractNum w:abstractNumId="152">
    <w:nsid w:val="10DB9DAA"/>
    <w:multiLevelType w:val="hybridMultilevel"/>
    <w:lvl w:ilvl="0">
      <w:lvlJc w:val="left"/>
      <w:lvlText w:val="(%1)"/>
      <w:numFmt w:val="lowerLetter"/>
      <w:start w:val="26"/>
    </w:lvl>
  </w:abstractNum>
  <w:abstractNum w:abstractNumId="153">
    <w:nsid w:val="697D2D2"/>
    <w:multiLevelType w:val="hybridMultilevel"/>
    <w:lvl w:ilvl="0">
      <w:lvlJc w:val="left"/>
      <w:lvlText w:val="(%1)"/>
      <w:numFmt w:val="lowerLetter"/>
      <w:start w:val="27"/>
    </w:lvl>
  </w:abstractNum>
  <w:abstractNum w:abstractNumId="154">
    <w:nsid w:val="6D68AB2"/>
    <w:multiLevelType w:val="hybridMultilevel"/>
    <w:lvl w:ilvl="0">
      <w:lvlJc w:val="left"/>
      <w:lvlText w:val="(%1)"/>
      <w:numFmt w:val="lowerLetter"/>
      <w:start w:val="30"/>
    </w:lvl>
  </w:abstractNum>
  <w:abstractNum w:abstractNumId="155">
    <w:nsid w:val="3A966CD0"/>
    <w:multiLevelType w:val="hybridMultilevel"/>
    <w:lvl w:ilvl="0">
      <w:lvlJc w:val="left"/>
      <w:lvlText w:val="%1"/>
      <w:numFmt w:val="lowerLetter"/>
      <w:start w:val="1"/>
    </w:lvl>
    <w:lvl w:ilvl="1">
      <w:lvlJc w:val="left"/>
      <w:lvlText w:val="(%2)"/>
      <w:numFmt w:val="lowerLetter"/>
      <w:start w:val="1"/>
    </w:lvl>
  </w:abstractNum>
  <w:abstractNum w:abstractNumId="156">
    <w:nsid w:val="63F37E85"/>
    <w:multiLevelType w:val="hybridMultilevel"/>
    <w:lvl w:ilvl="0">
      <w:lvlJc w:val="left"/>
      <w:lvlText w:val="(%1)"/>
      <w:numFmt w:val="lowerLetter"/>
      <w:start w:val="35"/>
    </w:lvl>
    <w:lvl w:ilvl="1">
      <w:lvlJc w:val="left"/>
      <w:lvlText w:val="%2"/>
      <w:numFmt w:val="lowerLetter"/>
      <w:start w:val="1"/>
    </w:lvl>
  </w:abstractNum>
  <w:abstractNum w:abstractNumId="157">
    <w:nsid w:val="5895F5FA"/>
    <w:multiLevelType w:val="hybridMultilevel"/>
    <w:lvl w:ilvl="0">
      <w:lvlJc w:val="left"/>
      <w:lvlText w:val="%1"/>
      <w:numFmt w:val="lowerLetter"/>
      <w:start w:val="1"/>
    </w:lvl>
    <w:lvl w:ilvl="1">
      <w:lvlJc w:val="left"/>
      <w:lvlText w:val="(%2)"/>
      <w:numFmt w:val="lowerLetter"/>
      <w:start w:val="4"/>
    </w:lvl>
  </w:abstractNum>
  <w:abstractNum w:abstractNumId="158">
    <w:nsid w:val="38A5D054"/>
    <w:multiLevelType w:val="hybridMultilevel"/>
    <w:lvl w:ilvl="0">
      <w:lvlJc w:val="left"/>
      <w:lvlText w:val="(%1)"/>
      <w:numFmt w:val="lowerLetter"/>
      <w:start w:val="35"/>
    </w:lvl>
    <w:lvl w:ilvl="1">
      <w:lvlJc w:val="left"/>
      <w:lvlText w:val="(%2)"/>
      <w:numFmt w:val="lowerLetter"/>
      <w:start w:val="6"/>
    </w:lvl>
  </w:abstractNum>
  <w:abstractNum w:abstractNumId="159">
    <w:nsid w:val="F3F09D8"/>
    <w:multiLevelType w:val="hybridMultilevel"/>
    <w:lvl w:ilvl="0">
      <w:lvlJc w:val="left"/>
      <w:lvlText w:val="(%1)"/>
      <w:numFmt w:val="lowerLetter"/>
      <w:start w:val="10"/>
    </w:lvl>
  </w:abstractNum>
  <w:abstractNum w:abstractNumId="160">
    <w:nsid w:val="4B793735"/>
    <w:multiLevelType w:val="hybridMultilevel"/>
    <w:lvl w:ilvl="0">
      <w:lvlJc w:val="left"/>
      <w:lvlText w:val="(%1)"/>
      <w:numFmt w:val="lowerLetter"/>
      <w:start w:val="22"/>
    </w:lvl>
  </w:abstractNum>
  <w:abstractNum w:abstractNumId="161">
    <w:nsid w:val="4A10B4E8"/>
    <w:multiLevelType w:val="hybridMultilevel"/>
    <w:lvl w:ilvl="0">
      <w:lvlJc w:val="left"/>
      <w:lvlText w:val="(%1)"/>
      <w:numFmt w:val="lowerLetter"/>
      <w:start w:val="27"/>
    </w:lvl>
  </w:abstractNum>
  <w:abstractNum w:abstractNumId="162">
    <w:nsid w:val="43D3BCD4"/>
    <w:multiLevelType w:val="hybridMultilevel"/>
    <w:lvl w:ilvl="0">
      <w:lvlJc w:val="left"/>
      <w:lvlText w:val="(%1)"/>
      <w:numFmt w:val="lowerRoman"/>
      <w:start w:val="1"/>
    </w:lvl>
  </w:abstractNum>
  <w:abstractNum w:abstractNumId="163">
    <w:nsid w:val="4C2A7166"/>
    <w:multiLevelType w:val="hybridMultilevel"/>
    <w:lvl w:ilvl="0">
      <w:lvlJc w:val="left"/>
      <w:lvlText w:val="(%1)"/>
      <w:numFmt w:val="lowerLetter"/>
      <w:start w:val="2"/>
    </w:lvl>
  </w:abstractNum>
  <w:abstractNum w:abstractNumId="164">
    <w:nsid w:val="2E534A82"/>
    <w:multiLevelType w:val="hybridMultilevel"/>
    <w:lvl w:ilvl="0">
      <w:lvlJc w:val="left"/>
      <w:lvlText w:val="(%1)"/>
      <w:numFmt w:val="lowerLetter"/>
      <w:start w:val="1"/>
    </w:lvl>
  </w:abstractNum>
  <w:abstractNum w:abstractNumId="165">
    <w:nsid w:val="26F2D364"/>
    <w:multiLevelType w:val="hybridMultilevel"/>
    <w:lvl w:ilvl="0">
      <w:lvlJc w:val="left"/>
      <w:lvlText w:val="%1"/>
      <w:numFmt w:val="upperLetter"/>
      <w:start w:val="1"/>
    </w:lvl>
    <w:lvl w:ilvl="1">
      <w:lvlJc w:val="left"/>
      <w:lvlText w:val="(%2)"/>
      <w:numFmt w:val="lowerLetter"/>
      <w:start w:val="10"/>
    </w:lvl>
  </w:abstractNum>
  <w:abstractNum w:abstractNumId="166">
    <w:nsid w:val="71C1AF98"/>
    <w:multiLevelType w:val="hybridMultilevel"/>
    <w:lvl w:ilvl="0">
      <w:lvlJc w:val="left"/>
      <w:lvlText w:val="(%1)"/>
      <w:numFmt w:val="upperLetter"/>
      <w:start w:val="1"/>
    </w:lvl>
    <w:lvl w:ilvl="1">
      <w:lvlJc w:val="left"/>
      <w:lvlText w:val="(%2)"/>
      <w:numFmt w:val="lowerLetter"/>
      <w:start w:val="11"/>
    </w:lvl>
  </w:abstractNum>
  <w:abstractNum w:abstractNumId="167">
    <w:nsid w:val="3D00B9D9"/>
    <w:multiLevelType w:val="hybridMultilevel"/>
    <w:lvl w:ilvl="0">
      <w:lvlJc w:val="left"/>
      <w:lvlText w:val="(%1)"/>
      <w:numFmt w:val="lowerLetter"/>
      <w:start w:val="14"/>
    </w:lvl>
  </w:abstractNum>
  <w:abstractNum w:abstractNumId="168">
    <w:nsid w:val="15BCABA8"/>
    <w:multiLevelType w:val="hybridMultilevel"/>
    <w:lvl w:ilvl="0">
      <w:lvlJc w:val="left"/>
      <w:lvlText w:val="(%1)"/>
      <w:numFmt w:val="lowerLetter"/>
      <w:start w:val="9"/>
    </w:lvl>
    <w:lvl w:ilvl="1">
      <w:lvlJc w:val="left"/>
      <w:lvlText w:val="(%2)"/>
      <w:numFmt w:val="lowerLetter"/>
      <w:start w:val="1"/>
    </w:lvl>
  </w:abstractNum>
  <w:abstractNum w:abstractNumId="169">
    <w:nsid w:val="4E0B9A87"/>
    <w:multiLevelType w:val="hybridMultilevel"/>
    <w:lvl w:ilvl="0">
      <w:lvlJc w:val="left"/>
      <w:lvlText w:val="%1"/>
      <w:numFmt w:val="lowerLetter"/>
      <w:start w:val="1"/>
    </w:lvl>
    <w:lvl w:ilvl="1">
      <w:lvlJc w:val="left"/>
      <w:lvlText w:val="(%2)"/>
      <w:numFmt w:val="lowerLetter"/>
      <w:start w:val="2"/>
    </w:lvl>
  </w:abstractNum>
  <w:abstractNum w:abstractNumId="170">
    <w:nsid w:val="434BAE75"/>
    <w:multiLevelType w:val="hybridMultilevel"/>
    <w:lvl w:ilvl="0">
      <w:lvlJc w:val="left"/>
      <w:lvlText w:val="(%1)"/>
      <w:numFmt w:val="lowerLetter"/>
      <w:start w:val="35"/>
    </w:lvl>
    <w:lvl w:ilvl="1">
      <w:lvlJc w:val="left"/>
      <w:lvlText w:val="(%2)"/>
      <w:numFmt w:val="lowerLetter"/>
      <w:start w:val="4"/>
    </w:lvl>
  </w:abstractNum>
  <w:abstractNum w:abstractNumId="171">
    <w:nsid w:val="4F38F265"/>
    <w:multiLevelType w:val="hybridMultilevel"/>
    <w:lvl w:ilvl="0">
      <w:lvlJc w:val="left"/>
      <w:lvlText w:val="(%1)"/>
      <w:numFmt w:val="lowerLetter"/>
      <w:start w:val="14"/>
    </w:lvl>
  </w:abstractNum>
  <w:abstractNum w:abstractNumId="172">
    <w:nsid w:val="4C502870"/>
    <w:multiLevelType w:val="hybridMultilevel"/>
    <w:lvl w:ilvl="0">
      <w:lvlJc w:val="left"/>
      <w:lvlText w:val="(%1)"/>
      <w:numFmt w:val="lowerLetter"/>
      <w:start w:val="27"/>
    </w:lvl>
  </w:abstractNum>
  <w:abstractNum w:abstractNumId="173">
    <w:nsid w:val="1DE8725A"/>
    <w:multiLevelType w:val="hybridMultilevel"/>
    <w:lvl w:ilvl="0">
      <w:lvlJc w:val="left"/>
      <w:lvlText w:val="(%1)"/>
      <w:numFmt w:val="lowerLetter"/>
      <w:start w:val="28"/>
    </w:lvl>
  </w:abstractNum>
  <w:abstractNum w:abstractNumId="174">
    <w:nsid w:val="6A37288A"/>
    <w:multiLevelType w:val="hybridMultilevel"/>
    <w:lvl w:ilvl="0">
      <w:lvlJc w:val="left"/>
      <w:lvlText w:val="(%1)"/>
      <w:numFmt w:val="lowerLetter"/>
      <w:start w:val="5"/>
    </w:lvl>
  </w:abstractNum>
  <w:abstractNum w:abstractNumId="175">
    <w:nsid w:val="8F8B73F"/>
    <w:multiLevelType w:val="hybridMultilevel"/>
    <w:lvl w:ilvl="0">
      <w:lvlJc w:val="left"/>
      <w:lvlText w:val="%1"/>
      <w:numFmt w:val="lowerLetter"/>
      <w:start w:val="1"/>
    </w:lvl>
    <w:lvl w:ilvl="1">
      <w:lvlJc w:val="left"/>
      <w:lvlText w:val="(%2)"/>
      <w:numFmt w:val="lowerLetter"/>
      <w:start w:val="1"/>
    </w:lvl>
  </w:abstractNum>
  <w:abstractNum w:abstractNumId="176">
    <w:nsid w:val="CA6B462"/>
    <w:multiLevelType w:val="hybridMultilevel"/>
    <w:lvl w:ilvl="0">
      <w:lvlJc w:val="left"/>
      <w:lvlText w:val="(%1)"/>
      <w:numFmt w:val="lowerLetter"/>
      <w:start w:val="61"/>
    </w:lvl>
    <w:lvl w:ilvl="1">
      <w:lvlJc w:val="left"/>
      <w:lvlText w:val="(%2)"/>
      <w:numFmt w:val="lowerLetter"/>
      <w:start w:val="3"/>
    </w:lvl>
  </w:abstractNum>
  <w:abstractNum w:abstractNumId="177">
    <w:nsid w:val="763CB680"/>
    <w:multiLevelType w:val="hybridMultilevel"/>
    <w:lvl w:ilvl="0">
      <w:lvlJc w:val="left"/>
      <w:lvlText w:val="(%1)"/>
      <w:numFmt w:val="lowerLetter"/>
      <w:start w:val="5"/>
    </w:lvl>
  </w:abstractNum>
  <w:abstractNum w:abstractNumId="178">
    <w:nsid w:val="15B71329"/>
    <w:multiLevelType w:val="hybridMultilevel"/>
    <w:lvl w:ilvl="0">
      <w:lvlJc w:val="left"/>
      <w:lvlText w:val="(%1)"/>
      <w:numFmt w:val="upperLetter"/>
      <w:start w:val="10"/>
    </w:lvl>
  </w:abstractNum>
  <w:abstractNum w:abstractNumId="179">
    <w:nsid w:val="3DA97044"/>
    <w:multiLevelType w:val="hybridMultilevel"/>
    <w:lvl w:ilvl="0">
      <w:lvlJc w:val="left"/>
      <w:lvlText w:val="(%1)"/>
      <w:numFmt w:val="upperLetter"/>
      <w:start w:val="14"/>
    </w:lvl>
  </w:abstractNum>
  <w:abstractNum w:abstractNumId="180">
    <w:nsid w:val="1CDCE2DE"/>
    <w:multiLevelType w:val="hybridMultilevel"/>
    <w:lvl w:ilvl="0">
      <w:lvlJc w:val="left"/>
      <w:lvlText w:val="(%1)"/>
      <w:numFmt w:val="upperLetter"/>
      <w:start w:val="1"/>
    </w:lvl>
  </w:abstractNum>
  <w:abstractNum w:abstractNumId="181">
    <w:nsid w:val="69D3947C"/>
    <w:multiLevelType w:val="hybridMultilevel"/>
    <w:lvl w:ilvl="0">
      <w:lvlJc w:val="left"/>
      <w:lvlText w:val="(%1)"/>
      <w:numFmt w:val="lowerLetter"/>
      <w:start w:val="1"/>
    </w:lvl>
    <w:lvl w:ilvl="1">
      <w:lvlJc w:val="left"/>
      <w:lvlText w:val="(%2)"/>
      <w:numFmt w:val="lowerRoman"/>
      <w:start w:val="1"/>
    </w:lvl>
  </w:abstractNum>
  <w:abstractNum w:abstractNumId="182">
    <w:nsid w:val="2539DFA5"/>
    <w:multiLevelType w:val="hybridMultilevel"/>
    <w:lvl w:ilvl="0">
      <w:lvlJc w:val="left"/>
      <w:lvlText w:val="(%1)"/>
      <w:numFmt w:val="lowerLetter"/>
      <w:start w:val="2"/>
    </w:lvl>
    <w:lvl w:ilvl="1">
      <w:lvlJc w:val="left"/>
      <w:lvlText w:val="(%2)"/>
      <w:numFmt w:val="lowerRoman"/>
      <w:start w:val="1"/>
    </w:lvl>
  </w:abstractNum>
  <w:abstractNum w:abstractNumId="183">
    <w:nsid w:val="2DB88089"/>
    <w:multiLevelType w:val="hybridMultilevel"/>
    <w:lvl w:ilvl="0">
      <w:lvlJc w:val="left"/>
      <w:lvlText w:val="(%1)"/>
      <w:numFmt w:val="lowerLetter"/>
      <w:start w:val="1"/>
    </w:lvl>
  </w:abstractNum>
  <w:abstractNum w:abstractNumId="184">
    <w:nsid w:val="706B674E"/>
    <w:multiLevelType w:val="hybridMultilevel"/>
    <w:lvl w:ilvl="0">
      <w:lvlJc w:val="left"/>
      <w:lvlText w:val="(%1)"/>
      <w:numFmt w:val="lowerLetter"/>
      <w:start w:val="1"/>
    </w:lvl>
  </w:abstractNum>
  <w:abstractNum w:abstractNumId="185">
    <w:nsid w:val="2C106A57"/>
    <w:multiLevelType w:val="hybridMultilevel"/>
    <w:lvl w:ilvl="0">
      <w:lvlJc w:val="left"/>
      <w:lvlText w:val="(%1)"/>
      <w:numFmt w:val="lowerLetter"/>
      <w:start w:val="8"/>
    </w:lvl>
  </w:abstractNum>
  <w:abstractNum w:abstractNumId="186">
    <w:nsid w:val="684EED59"/>
    <w:multiLevelType w:val="hybridMultilevel"/>
    <w:lvl w:ilvl="0">
      <w:lvlJc w:val="left"/>
      <w:lvlText w:val="(%1)"/>
      <w:numFmt w:val="lowerLetter"/>
      <w:start w:val="10"/>
    </w:lvl>
  </w:abstractNum>
  <w:abstractNum w:abstractNumId="187">
    <w:nsid w:val="545EE5D3"/>
    <w:multiLevelType w:val="hybridMultilevel"/>
    <w:lvl w:ilvl="0">
      <w:lvlJc w:val="left"/>
      <w:lvlText w:val="(%1)"/>
      <w:numFmt w:val="lowerLetter"/>
      <w:start w:val="1"/>
    </w:lvl>
  </w:abstractNum>
  <w:abstractNum w:abstractNumId="188">
    <w:nsid w:val="4A66051"/>
    <w:multiLevelType w:val="hybridMultilevel"/>
    <w:lvl w:ilvl="0">
      <w:lvlJc w:val="left"/>
      <w:lvlText w:val="(%1)"/>
      <w:numFmt w:val="lowerLetter"/>
      <w:start w:val="1"/>
    </w:lvl>
  </w:abstractNum>
  <w:abstractNum w:abstractNumId="189">
    <w:nsid w:val="20F4BDAD"/>
    <w:multiLevelType w:val="hybridMultilevel"/>
    <w:lvl w:ilvl="0">
      <w:lvlJc w:val="left"/>
      <w:lvlText w:val="(%1)"/>
      <w:numFmt w:val="lowerLetter"/>
      <w:start w:val="1"/>
    </w:lvl>
    <w:lvl w:ilvl="1">
      <w:lvlJc w:val="left"/>
      <w:lvlText w:val="(%2)"/>
      <w:numFmt w:val="lowerLetter"/>
      <w:start w:val="9"/>
    </w:lvl>
  </w:abstractNum>
  <w:abstractNum w:abstractNumId="190">
    <w:nsid w:val="639DEFAC"/>
    <w:multiLevelType w:val="hybridMultilevel"/>
    <w:lvl w:ilvl="0">
      <w:lvlJc w:val="left"/>
      <w:lvlText w:val="%1"/>
      <w:numFmt w:val="lowerLetter"/>
      <w:start w:val="1"/>
    </w:lvl>
    <w:lvl w:ilvl="1">
      <w:lvlJc w:val="left"/>
      <w:lvlText w:val="(%2)"/>
      <w:numFmt w:val="lowerRoman"/>
      <w:start w:val="2"/>
    </w:lvl>
  </w:abstractNum>
  <w:abstractNum w:abstractNumId="191">
    <w:nsid w:val="501F9786"/>
    <w:multiLevelType w:val="hybridMultilevel"/>
    <w:lvl w:ilvl="0">
      <w:lvlJc w:val="left"/>
      <w:lvlText w:val="(%1)"/>
      <w:numFmt w:val="lowerLetter"/>
      <w:start w:val="4"/>
    </w:lvl>
    <w:lvl w:ilvl="1">
      <w:lvlJc w:val="left"/>
      <w:lvlText w:val="(%2)"/>
      <w:numFmt w:val="lowerRoman"/>
      <w:start w:val="1"/>
    </w:lvl>
  </w:abstractNum>
  <w:abstractNum w:abstractNumId="192">
    <w:nsid w:val="6B057295"/>
    <w:multiLevelType w:val="hybridMultilevel"/>
    <w:lvl w:ilvl="0">
      <w:lvlJc w:val="left"/>
      <w:lvlText w:val="(%1)"/>
      <w:numFmt w:val="lowerLetter"/>
      <w:start w:val="7"/>
    </w:lvl>
  </w:abstractNum>
  <w:abstractNum w:abstractNumId="193">
    <w:nsid w:val="2771AC80"/>
    <w:multiLevelType w:val="hybridMultilevel"/>
    <w:lvl w:ilvl="0">
      <w:lvlJc w:val="left"/>
      <w:lvlText w:val="(%1)"/>
      <w:numFmt w:val="lowerLetter"/>
      <w:start w:val="1"/>
    </w:lvl>
  </w:abstractNum>
  <w:abstractNum w:abstractNumId="194">
    <w:nsid w:val="1C4A08EC"/>
    <w:multiLevelType w:val="hybridMultilevel"/>
    <w:lvl w:ilvl="0">
      <w:lvlJc w:val="left"/>
      <w:lvlText w:val="(%1)"/>
      <w:numFmt w:val="lowerLetter"/>
      <w:start w:val="3"/>
    </w:lvl>
  </w:abstractNum>
  <w:abstractNum w:abstractNumId="195">
    <w:nsid w:val="1958BD17"/>
    <w:multiLevelType w:val="hybridMultilevel"/>
    <w:lvl w:ilvl="0">
      <w:lvlJc w:val="left"/>
      <w:lvlText w:val="(%1)"/>
      <w:numFmt w:val="lowerLetter"/>
      <w:start w:val="1"/>
    </w:lvl>
  </w:abstractNum>
  <w:abstractNum w:abstractNumId="196">
    <w:nsid w:val="4E647FE4"/>
    <w:multiLevelType w:val="hybridMultilevel"/>
    <w:lvl w:ilvl="0">
      <w:lvlJc w:val="left"/>
      <w:lvlText w:val="(%1)"/>
      <w:numFmt w:val="lowerLetter"/>
      <w:start w:val="4"/>
    </w:lvl>
  </w:abstractNum>
  <w:abstractNum w:abstractNumId="197">
    <w:nsid w:val="E0BB885"/>
    <w:multiLevelType w:val="hybridMultilevel"/>
    <w:lvl w:ilvl="0">
      <w:lvlJc w:val="left"/>
      <w:lvlText w:val="%1"/>
      <w:numFmt w:val="upperLetter"/>
      <w:start w:val="1"/>
    </w:lvl>
    <w:lvl w:ilvl="1">
      <w:lvlJc w:val="left"/>
      <w:lvlText w:val="(%2)"/>
      <w:numFmt w:val="lowerLetter"/>
      <w:start w:val="1"/>
    </w:lvl>
  </w:abstractNum>
  <w:abstractNum w:abstractNumId="198">
    <w:nsid w:val="565976F1"/>
    <w:multiLevelType w:val="hybridMultilevel"/>
    <w:lvl w:ilvl="0">
      <w:lvlJc w:val="left"/>
      <w:lvlText w:val="(%1)"/>
      <w:numFmt w:val="upperLetter"/>
      <w:start w:val="2"/>
    </w:lvl>
    <w:lvl w:ilvl="1">
      <w:lvlJc w:val="left"/>
      <w:lvlText w:val="%2"/>
      <w:numFmt w:val="lowerLetter"/>
      <w:start w:val="1"/>
    </w:lvl>
  </w:abstractNum>
  <w:abstractNum w:abstractNumId="199">
    <w:nsid w:val="64212B8C"/>
    <w:multiLevelType w:val="hybridMultilevel"/>
    <w:lvl w:ilvl="0">
      <w:lvlJc w:val="left"/>
      <w:lvlText w:val="%1"/>
      <w:numFmt w:val="lowerLetter"/>
      <w:start w:val="1"/>
    </w:lvl>
    <w:lvl w:ilvl="1">
      <w:lvlJc w:val="left"/>
      <w:lvlText w:val="(%2)"/>
      <w:numFmt w:val="lowerLetter"/>
      <w:start w:val="1"/>
    </w:lvl>
  </w:abstractNum>
  <w:abstractNum w:abstractNumId="200">
    <w:nsid w:val="5C17530C"/>
    <w:multiLevelType w:val="hybridMultilevel"/>
    <w:lvl w:ilvl="0">
      <w:lvlJc w:val="left"/>
      <w:lvlText w:val="(%1)"/>
      <w:numFmt w:val="lowerLetter"/>
      <w:start w:val="35"/>
    </w:lvl>
    <w:lvl w:ilvl="1">
      <w:lvlJc w:val="left"/>
      <w:lvlText w:val="(%2)"/>
      <w:numFmt w:val="lowerLetter"/>
      <w:start w:val="2"/>
    </w:lvl>
  </w:abstractNum>
  <w:abstractNum w:abstractNumId="201">
    <w:nsid w:val="19A52566"/>
    <w:multiLevelType w:val="hybridMultilevel"/>
    <w:lvl w:ilvl="0">
      <w:lvlJc w:val="left"/>
      <w:lvlText w:val="(%1)"/>
      <w:numFmt w:val="lowerLetter"/>
      <w:start w:val="4"/>
    </w:lvl>
  </w:abstractNum>
  <w:abstractNum w:abstractNumId="202">
    <w:nsid w:val="335A1DF1"/>
    <w:multiLevelType w:val="hybridMultilevel"/>
    <w:lvl w:ilvl="0">
      <w:lvlJc w:val="left"/>
      <w:lvlText w:val="%1"/>
      <w:numFmt w:val="lowerLetter"/>
      <w:start w:val="1"/>
    </w:lvl>
    <w:lvl w:ilvl="1">
      <w:lvlJc w:val="left"/>
      <w:lvlText w:val="(%2)"/>
      <w:numFmt w:val="lowerLetter"/>
      <w:start w:val="1"/>
    </w:lvl>
  </w:abstractNum>
  <w:abstractNum w:abstractNumId="203">
    <w:nsid w:val="28677B7C"/>
    <w:multiLevelType w:val="hybridMultilevel"/>
    <w:lvl w:ilvl="0">
      <w:lvlJc w:val="left"/>
      <w:lvlText w:val="(%1)"/>
      <w:numFmt w:val="lowerLetter"/>
      <w:start w:val="35"/>
    </w:lvl>
    <w:lvl w:ilvl="1">
      <w:lvlJc w:val="left"/>
      <w:lvlText w:val="%2"/>
      <w:numFmt w:val="lowerLetter"/>
      <w:start w:val="1"/>
    </w:lvl>
  </w:abstractNum>
  <w:abstractNum w:abstractNumId="204">
    <w:nsid w:val="378D97C0"/>
    <w:multiLevelType w:val="hybridMultilevel"/>
    <w:lvl w:ilvl="0">
      <w:lvlJc w:val="left"/>
      <w:lvlText w:val="(%1)"/>
      <w:numFmt w:val="lowerLetter"/>
      <w:start w:val="2"/>
    </w:lvl>
  </w:abstractNum>
  <w:abstractNum w:abstractNumId="205">
    <w:nsid w:val="1D91467C"/>
    <w:multiLevelType w:val="hybridMultilevel"/>
    <w:lvl w:ilvl="0">
      <w:lvlJc w:val="left"/>
      <w:lvlText w:val="(%1)"/>
      <w:numFmt w:val="lowerLetter"/>
      <w:start w:val="1"/>
    </w:lvl>
    <w:lvl w:ilvl="1">
      <w:lvlJc w:val="left"/>
      <w:lvlText w:val="(%2)"/>
      <w:numFmt w:val="lowerRoman"/>
      <w:start w:val="1"/>
    </w:lvl>
  </w:abstractNum>
  <w:abstractNum w:abstractNumId="206">
    <w:nsid w:val="316032BB"/>
    <w:multiLevelType w:val="hybridMultilevel"/>
    <w:lvl w:ilvl="0">
      <w:lvlJc w:val="left"/>
      <w:lvlText w:val="%1"/>
      <w:numFmt w:val="lowerLetter"/>
      <w:start w:val="1"/>
    </w:lvl>
    <w:lvl w:ilvl="1">
      <w:lvlJc w:val="left"/>
      <w:lvlText w:val="(%2)"/>
      <w:numFmt w:val="lowerRoman"/>
      <w:start w:val="4"/>
    </w:lvl>
  </w:abstractNum>
  <w:abstractNum w:abstractNumId="207">
    <w:nsid w:val="44344C22"/>
    <w:multiLevelType w:val="hybridMultilevel"/>
    <w:lvl w:ilvl="0">
      <w:lvlJc w:val="left"/>
      <w:lvlText w:val="(%1)"/>
      <w:numFmt w:val="lowerLetter"/>
      <w:start w:val="2"/>
    </w:lvl>
    <w:lvl w:ilvl="1">
      <w:lvlJc w:val="left"/>
      <w:lvlText w:val="%2"/>
      <w:numFmt w:val="lowerRoman"/>
      <w:start w:val="1"/>
    </w:lvl>
  </w:abstractNum>
  <w:abstractNum w:abstractNumId="208">
    <w:nsid w:val="13CDFCFC"/>
    <w:multiLevelType w:val="hybridMultilevel"/>
    <w:lvl w:ilvl="0">
      <w:lvlJc w:val="left"/>
      <w:lvlText w:val="(%1)"/>
      <w:numFmt w:val="lowerLetter"/>
      <w:start w:val="1"/>
    </w:lvl>
  </w:abstractNum>
  <w:abstractNum w:abstractNumId="209">
    <w:nsid w:val="471745E4"/>
    <w:multiLevelType w:val="hybridMultilevel"/>
    <w:lvl w:ilvl="0">
      <w:lvlJc w:val="left"/>
      <w:lvlText w:val="(%1)"/>
      <w:numFmt w:val="lowerLetter"/>
      <w:start w:val="3"/>
    </w:lvl>
  </w:abstractNum>
  <w:abstractNum w:abstractNumId="210">
    <w:nsid w:val="1DDBC66"/>
    <w:multiLevelType w:val="hybridMultilevel"/>
    <w:lvl w:ilvl="0">
      <w:lvlJc w:val="left"/>
      <w:lvlText w:val="(%1)"/>
      <w:numFmt w:val="lowerLetter"/>
      <w:start w:val="1"/>
    </w:lvl>
    <w:lvl w:ilvl="1">
      <w:lvlJc w:val="left"/>
      <w:lvlText w:val="(%2)"/>
      <w:numFmt w:val="lowerLetter"/>
      <w:start w:val="9"/>
    </w:lvl>
  </w:abstractNum>
  <w:abstractNum w:abstractNumId="211">
    <w:nsid w:val="30AADFDA"/>
    <w:multiLevelType w:val="hybridMultilevel"/>
    <w:lvl w:ilvl="0">
      <w:lvlJc w:val="left"/>
      <w:lvlText w:val="(%1)"/>
      <w:numFmt w:val="lowerRoman"/>
      <w:start w:val="2"/>
    </w:lvl>
  </w:abstractNum>
  <w:abstractNum w:abstractNumId="212">
    <w:nsid w:val="30EADA61"/>
    <w:multiLevelType w:val="hybridMultilevel"/>
    <w:lvl w:ilvl="0">
      <w:lvlJc w:val="left"/>
      <w:lvlText w:val="(%1)"/>
      <w:numFmt w:val="lowerLetter"/>
      <w:start w:val="2"/>
    </w:lvl>
  </w:abstractNum>
  <w:abstractNum w:abstractNumId="213">
    <w:nsid w:val="27179C0B"/>
    <w:multiLevelType w:val="hybridMultilevel"/>
    <w:lvl w:ilvl="0">
      <w:lvlJc w:val="left"/>
      <w:lvlText w:val="%1"/>
      <w:numFmt w:val="lowerRoman"/>
      <w:start w:val="1"/>
    </w:lvl>
    <w:lvl w:ilvl="1">
      <w:lvlJc w:val="left"/>
      <w:lvlText w:val="(%2)"/>
      <w:numFmt w:val="lowerLetter"/>
      <w:start w:val="1"/>
    </w:lvl>
  </w:abstractNum>
  <w:abstractNum w:abstractNumId="214">
    <w:nsid w:val="5E636063"/>
    <w:multiLevelType w:val="hybridMultilevel"/>
    <w:lvl w:ilvl="0">
      <w:lvlJc w:val="left"/>
      <w:lvlText w:val="(%1)"/>
      <w:numFmt w:val="lowerRoman"/>
      <w:start w:val="7"/>
    </w:lvl>
    <w:lvl w:ilvl="1">
      <w:lvlJc w:val="left"/>
      <w:lvlText w:val="%2"/>
      <w:numFmt w:val="lowerLetter"/>
      <w:start w:val="1"/>
    </w:lvl>
  </w:abstractNum>
  <w:abstractNum w:abstractNumId="215">
    <w:nsid w:val="215641AF"/>
    <w:multiLevelType w:val="hybridMultilevel"/>
    <w:lvl w:ilvl="0">
      <w:lvlJc w:val="left"/>
      <w:lvlText w:val="(%1)"/>
      <w:numFmt w:val="lowerLetter"/>
      <w:start w:val="3"/>
    </w:lvl>
  </w:abstractNum>
  <w:abstractNum w:abstractNumId="216">
    <w:nsid w:val="53280662"/>
    <w:multiLevelType w:val="hybridMultilevel"/>
    <w:lvl w:ilvl="0">
      <w:lvlJc w:val="left"/>
      <w:lvlText w:val="(%1)"/>
      <w:numFmt w:val="lowerLetter"/>
      <w:start w:val="5"/>
    </w:lvl>
  </w:abstractNum>
  <w:abstractNum w:abstractNumId="217">
    <w:nsid w:val="46B24DBC"/>
    <w:multiLevelType w:val="hybridMultilevel"/>
    <w:lvl w:ilvl="0">
      <w:lvlJc w:val="left"/>
      <w:lvlText w:val="(%1)"/>
      <w:numFmt w:val="lowerLetter"/>
      <w:start w:val="6"/>
    </w:lvl>
  </w:abstractNum>
  <w:abstractNum w:abstractNumId="218">
    <w:nsid w:val="75B52783"/>
    <w:multiLevelType w:val="hybridMultilevel"/>
    <w:lvl w:ilvl="0">
      <w:lvlJc w:val="left"/>
      <w:lvlText w:val="(%1)"/>
      <w:numFmt w:val="lowerLetter"/>
      <w:start w:val="1"/>
    </w:lvl>
  </w:abstractNum>
  <w:abstractNum w:abstractNumId="219">
    <w:nsid w:val="57CE66B4"/>
    <w:multiLevelType w:val="hybridMultilevel"/>
    <w:lvl w:ilvl="0">
      <w:lvlJc w:val="left"/>
      <w:lvlText w:val="(%1)"/>
      <w:numFmt w:val="lowerLetter"/>
      <w:start w:val="2"/>
    </w:lvl>
  </w:abstractNum>
  <w:abstractNum w:abstractNumId="220">
    <w:nsid w:val="67A70B69"/>
    <w:multiLevelType w:val="hybridMultilevel"/>
    <w:lvl w:ilvl="0">
      <w:lvlJc w:val="left"/>
      <w:lvlText w:val="(%1)"/>
      <w:numFmt w:val="lowerLetter"/>
      <w:start w:val="4"/>
    </w:lvl>
  </w:abstractNum>
  <w:abstractNum w:abstractNumId="221">
    <w:nsid w:val="5953172F"/>
    <w:multiLevelType w:val="hybridMultilevel"/>
    <w:lvl w:ilvl="0">
      <w:lvlJc w:val="left"/>
      <w:lvlText w:val="(%1)"/>
      <w:numFmt w:val="lowerLetter"/>
      <w:start w:val="1"/>
    </w:lvl>
  </w:abstractNum>
  <w:abstractNum w:abstractNumId="222">
    <w:nsid w:val="27EDFE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223">
    <w:nsid w:val="52AC7D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4">
    <w:nsid w:val="C4C3AF"/>
    <w:multiLevelType w:val="hybridMultilevel"/>
    <w:lvl w:ilvl="0">
      <w:lvlJc w:val="left"/>
      <w:lvlText w:val="(%1)"/>
      <w:numFmt w:val="upperLetter"/>
      <w:start w:val="4"/>
    </w:lvl>
  </w:abstractNum>
  <w:abstractNum w:abstractNumId="225">
    <w:nsid w:val="44380727"/>
    <w:multiLevelType w:val="hybridMultilevel"/>
    <w:lvl w:ilvl="0">
      <w:lvlJc w:val="left"/>
      <w:lvlText w:val="(%1)"/>
      <w:numFmt w:val="lowerRoman"/>
      <w:start w:val="3"/>
    </w:lvl>
  </w:abstractNum>
  <w:abstractNum w:abstractNumId="226">
    <w:nsid w:val="6C053B16"/>
    <w:multiLevelType w:val="hybridMultilevel"/>
    <w:lvl w:ilvl="0">
      <w:lvlJc w:val="left"/>
      <w:lvlText w:val="%1"/>
      <w:numFmt w:val="upperLetter"/>
      <w:start w:val="1"/>
    </w:lvl>
    <w:lvl w:ilvl="1">
      <w:lvlJc w:val="left"/>
      <w:lvlText w:val="(%2)"/>
      <w:numFmt w:val="lowerLetter"/>
      <w:start w:val="3"/>
    </w:lvl>
  </w:abstractNum>
  <w:abstractNum w:abstractNumId="227">
    <w:nsid w:val="4F294393"/>
    <w:multiLevelType w:val="hybridMultilevel"/>
    <w:lvl w:ilvl="0">
      <w:lvlJc w:val="left"/>
      <w:lvlText w:val="(%1)"/>
      <w:numFmt w:val="upperLetter"/>
      <w:start w:val="1"/>
    </w:lvl>
    <w:lvl w:ilvl="1">
      <w:lvlJc w:val="left"/>
      <w:lvlText w:val="%2"/>
      <w:numFmt w:val="lowerLetter"/>
      <w:start w:val="1"/>
    </w:lvl>
  </w:abstractNum>
  <w:abstractNum w:abstractNumId="228">
    <w:nsid w:val="5243BFAC"/>
    <w:multiLevelType w:val="hybridMultilevel"/>
    <w:lvl w:ilvl="0">
      <w:lvlJc w:val="left"/>
      <w:lvlText w:val="(%1)"/>
      <w:numFmt w:val="lowerLetter"/>
      <w:start w:val="4"/>
    </w:lvl>
    <w:lvl w:ilvl="1">
      <w:lvlJc w:val="left"/>
      <w:lvlText w:val="(%2)"/>
      <w:numFmt w:val="lowerRoman"/>
      <w:start w:val="1"/>
    </w:lvl>
  </w:abstractNum>
  <w:abstractNum w:abstractNumId="229">
    <w:nsid w:val="425EB207"/>
    <w:multiLevelType w:val="hybridMultilevel"/>
    <w:lvl w:ilvl="0">
      <w:lvlJc w:val="left"/>
      <w:lvlText w:val="(%1)"/>
      <w:numFmt w:val="lowerRoman"/>
      <w:start w:val="4"/>
    </w:lvl>
  </w:abstractNum>
  <w:abstractNum w:abstractNumId="230">
    <w:nsid w:val="334A6F1F"/>
    <w:multiLevelType w:val="hybridMultilevel"/>
    <w:lvl w:ilvl="0">
      <w:lvlJc w:val="left"/>
      <w:lvlText w:val="(%1)"/>
      <w:numFmt w:val="lowerLetter"/>
      <w:start w:val="1"/>
    </w:lvl>
  </w:abstractNum>
  <w:abstractNum w:abstractNumId="231">
    <w:nsid w:val="2E5B12B8"/>
    <w:multiLevelType w:val="hybridMultilevel"/>
    <w:lvl w:ilvl="0">
      <w:lvlJc w:val="left"/>
      <w:lvlText w:val="(%1)"/>
      <w:numFmt w:val="lowerLetter"/>
      <w:start w:val="4"/>
    </w:lvl>
  </w:abstractNum>
  <w:abstractNum w:abstractNumId="232">
    <w:nsid w:val="5C03D76D"/>
    <w:multiLevelType w:val="hybridMultilevel"/>
    <w:lvl w:ilvl="0">
      <w:lvlJc w:val="left"/>
      <w:lvlText w:val="(%1)"/>
      <w:numFmt w:val="upperLetter"/>
      <w:start w:val="1"/>
    </w:lvl>
  </w:abstractNum>
  <w:abstractNum w:abstractNumId="233">
    <w:nsid w:val="66A48D11"/>
    <w:multiLevelType w:val="hybridMultilevel"/>
    <w:lvl w:ilvl="0">
      <w:lvlJc w:val="left"/>
      <w:lvlText w:val="(%1)"/>
      <w:numFmt w:val="lowerLetter"/>
      <w:start w:val="4"/>
    </w:lvl>
  </w:abstractNum>
  <w:abstractNum w:abstractNumId="234">
    <w:nsid w:val="56C28E34"/>
    <w:multiLevelType w:val="hybridMultilevel"/>
    <w:lvl w:ilvl="0">
      <w:lvlJc w:val="left"/>
      <w:lvlText w:val="(%1)"/>
      <w:numFmt w:val="lowerLetter"/>
      <w:start w:val="1"/>
    </w:lvl>
  </w:abstractNum>
  <w:abstractNum w:abstractNumId="235">
    <w:nsid w:val="13916F2D"/>
    <w:multiLevelType w:val="hybridMultilevel"/>
    <w:lvl w:ilvl="0">
      <w:lvlJc w:val="left"/>
      <w:lvlText w:val="(%1)"/>
      <w:numFmt w:val="lowerLetter"/>
      <w:start w:val="4"/>
    </w:lvl>
  </w:abstractNum>
  <w:abstractNum w:abstractNumId="236">
    <w:nsid w:val="435D38D"/>
    <w:multiLevelType w:val="hybridMultilevel"/>
    <w:lvl w:ilvl="0">
      <w:lvlJc w:val="left"/>
      <w:lvlText w:val="(%1)"/>
      <w:numFmt w:val="lowerLetter"/>
      <w:start w:val="1"/>
    </w:lvl>
  </w:abstractNum>
  <w:abstractNum w:abstractNumId="237">
    <w:nsid w:val="822C0EF"/>
    <w:multiLevelType w:val="hybridMultilevel"/>
    <w:lvl w:ilvl="0">
      <w:lvlJc w:val="left"/>
      <w:lvlText w:val="(%1)"/>
      <w:numFmt w:val="lowerLetter"/>
      <w:start w:val="2"/>
    </w:lvl>
  </w:abstractNum>
  <w:abstractNum w:abstractNumId="238">
    <w:nsid w:val="57C5BB4F"/>
    <w:multiLevelType w:val="hybridMultilevel"/>
    <w:lvl w:ilvl="0">
      <w:lvlJc w:val="left"/>
      <w:lvlText w:val="(%1)"/>
      <w:numFmt w:val="lowerLetter"/>
      <w:start w:val="1"/>
    </w:lvl>
    <w:lvl w:ilvl="1">
      <w:lvlJc w:val="left"/>
      <w:lvlText w:val="(%2)"/>
      <w:numFmt w:val="lowerRoman"/>
      <w:start w:val="1"/>
    </w:lvl>
  </w:abstractNum>
  <w:abstractNum w:abstractNumId="239">
    <w:nsid w:val="1803D089"/>
    <w:multiLevelType w:val="hybridMultilevel"/>
    <w:lvl w:ilvl="0">
      <w:lvlJc w:val="left"/>
      <w:lvlText w:val="(%1)"/>
      <w:numFmt w:val="lowerLetter"/>
      <w:start w:val="2"/>
    </w:lvl>
  </w:abstractNum>
  <w:abstractNum w:abstractNumId="240">
    <w:nsid w:val="4F3A06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 Type="http://schemas.openxmlformats.org/officeDocument/2006/relationships/hyperlink" Target="http://www.sec.gov/Archives/edgar/data/914475/000119312526142904/d110123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2026-05-18T08:08:59Z</dcterms:created>
  <dcterms:modified xsi:type="dcterms:W3CDTF">2026-05-18T08:08:59Z</dcterms:modified>
</cp:coreProperties>
</file>