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NEUROCRINE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4,725,485.00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5,294,407.00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5,300,390.00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9"/>
        <w:gridCol w:w="8941"/>
        <w:gridCol w:w="155"/>
      </w:tblGrid>
      <w:tr>
        <w:trPr/>
        <w:tc>
          <w:tcPr>
            <w:tcW w:w="1109" w:type="dxa"/>
            <w:tcBorders/>
            <w:vAlign w:val="center"/>
          </w:tcPr>
          <w:p>
            <w:pPr>
              <w:pStyle w:val="TableContents"/>
              <w:bidi w:val="0"/>
              <w:spacing w:before="0" w:after="283"/>
              <w:jc w:val="left"/>
              <w:rPr/>
            </w:pPr>
            <w:r>
              <w:rPr/>
              <w:t>Item 1.</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issuer: </w:t>
            </w:r>
          </w:p>
          <w:p>
            <w:pPr>
              <w:pStyle w:val="TableContents"/>
              <w:bidi w:val="0"/>
              <w:spacing w:before="0" w:after="0"/>
              <w:jc w:val="left"/>
              <w:rPr/>
            </w:pPr>
            <w:r>
              <w:rPr/>
              <w:t>NEUROCRINE BIOSCIENCES, INC.</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6027 Edgewood Bend Court San Diego CA 92130</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2.</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3.</w:t>
            </w:r>
          </w:p>
        </w:tc>
        <w:tc>
          <w:tcPr>
            <w:tcW w:w="894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(f)</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(g)</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(h)</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(j)</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(k)</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9096" w:type="dxa"/>
            <w:gridSpan w:val="2"/>
            <w:tcBorders/>
            <w:vAlign w:val="center"/>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4.</w:t>
            </w:r>
          </w:p>
        </w:tc>
        <w:tc>
          <w:tcPr>
            <w:tcW w:w="894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5300390</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4725485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22400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5294407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5.</w:t>
            </w:r>
          </w:p>
        </w:tc>
        <w:tc>
          <w:tcPr>
            <w:tcW w:w="894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6.</w:t>
            </w:r>
          </w:p>
        </w:tc>
        <w:tc>
          <w:tcPr>
            <w:tcW w:w="894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7.</w:t>
            </w:r>
          </w:p>
        </w:tc>
        <w:tc>
          <w:tcPr>
            <w:tcW w:w="894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Asset Management (UK) Limited; JPMorgan Chase Bank, National Association; J.P. Morgan Investment Management Inc.; J.P. Morgan Mansart Management Limited; J.P. Morgan Wealth Management Solutions Inc.; 55I, LLC</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8.</w:t>
            </w:r>
          </w:p>
        </w:tc>
        <w:tc>
          <w:tcPr>
            <w:tcW w:w="894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9.</w:t>
            </w:r>
          </w:p>
        </w:tc>
        <w:tc>
          <w:tcPr>
            <w:tcW w:w="894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5252</Characters>
  <CharactersWithSpaces>6258</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