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3987800</wp:posOffset>
            </wp:positionH>
            <wp:positionV relativeFrom="paragraph">
              <wp:posOffset>-630555</wp:posOffset>
            </wp:positionV>
            <wp:extent cx="58420" cy="643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749935</wp:posOffset>
            </wp:positionV>
            <wp:extent cx="7045960" cy="51542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154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spacing w:after="0" w:line="24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6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6"/>
                </w:rPr>
                <w:t>Delaet Ingrid</w:t>
              </w:r>
            </w:hyperlink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</w:tcPr>
          <w:p>
            <w:pPr>
              <w:spacing w:after="0" w:line="169" w:lineRule="exact"/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9"/>
                  <w:szCs w:val="19"/>
                  <w:color w:val="0000EE"/>
                </w:rPr>
                <w:t xml:space="preserve">NEUROCRINE BIOSCIENCES INC </w:t>
              </w:r>
            </w:hyperlink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00"/>
              </w:rPr>
              <w:t>[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  <w:bottom w:val="single" w:sz="8" w:color="0000EE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NBIX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2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  <w:bottom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  <w:bottom w:val="single" w:sz="8" w:color="EEEEEE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tcBorders>
              <w:top w:val="single" w:sz="8" w:color="EEEEEE"/>
              <w:bottom w:val="single" w:sz="8" w:color="EEEEEE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6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4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Regulatory Officer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6027 EDGEWOOD BEND CT.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gridSpan w:val="6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05/29/2026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92130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ind w:left="1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80" w:type="dxa"/>
            <w:vAlign w:val="bottom"/>
            <w:gridSpan w:val="7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05/29/2026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2,261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jc w:val="center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79.02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18,486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05/29/2026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2,261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156.71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16,225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79.02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05/29/2026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2,261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01/31/2032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2,261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2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Option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 w:right="320" w:firstLine="3"/>
        <w:spacing w:after="0" w:line="258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disposition reported in this Form 4 was effected by a broker pursuant to instructions set forth in a Rule 10b5-1 trading plan adopted by the Reporting Person on February 27, 2026. Additionally, Issuer policy restricts the Reporting Person from amending or otherwise modifying any 10b5-1 trading plan subsequent to adoption of the plan.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was granted January 31, 2022 and vested in 48 equal monthly installments beginning February 28, 2022.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Darin Lippoldt, Attorney-in-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06/02/2026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-26670</wp:posOffset>
            </wp:positionV>
            <wp:extent cx="13576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76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-19685</wp:posOffset>
            </wp:positionV>
            <wp:extent cx="1847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5584825</wp:posOffset>
            </wp:positionH>
            <wp:positionV relativeFrom="paragraph">
              <wp:posOffset>-85725</wp:posOffset>
            </wp:positionV>
            <wp:extent cx="4883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965808" TargetMode="External"/><Relationship Id="rId14" Type="http://schemas.openxmlformats.org/officeDocument/2006/relationships/hyperlink" Target="http://www.sec.gov/cgi-bin/browse-edgar?action=getcompany&amp;CIK=000091447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2026-06-02T17:04:54Z</dcterms:created>
  <dcterms:modified xsi:type="dcterms:W3CDTF">2026-06-02T17:04:54Z</dcterms:modified>
</cp:coreProperties>
</file>